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Look w:val="04A0" w:firstRow="1" w:lastRow="0" w:firstColumn="1" w:lastColumn="0" w:noHBand="0" w:noVBand="1"/>
      </w:tblPr>
      <w:tblGrid>
        <w:gridCol w:w="461"/>
        <w:gridCol w:w="4385"/>
        <w:gridCol w:w="4170"/>
      </w:tblGrid>
      <w:tr w:rsidR="00BE68FD" w14:paraId="29350589" w14:textId="77777777" w:rsidTr="006F5A50">
        <w:tc>
          <w:tcPr>
            <w:tcW w:w="9016" w:type="dxa"/>
            <w:gridSpan w:val="3"/>
          </w:tcPr>
          <w:p w14:paraId="75D78088" w14:textId="77777777" w:rsidR="00BE68FD" w:rsidRPr="00BE68FD" w:rsidRDefault="00BE68FD">
            <w:pPr>
              <w:rPr>
                <w:b/>
                <w:bCs/>
              </w:rPr>
            </w:pPr>
            <w:r w:rsidRPr="00BE68FD">
              <w:rPr>
                <w:b/>
                <w:bCs/>
              </w:rPr>
              <w:t>Closed Framework for Research and Evaluation Services: clarification Q&amp;A</w:t>
            </w:r>
          </w:p>
          <w:p w14:paraId="0A242F3E" w14:textId="2F841E97" w:rsidR="00BE68FD" w:rsidRPr="00BE68FD" w:rsidRDefault="00BE68FD">
            <w:pPr>
              <w:rPr>
                <w:b/>
                <w:bCs/>
              </w:rPr>
            </w:pPr>
          </w:p>
        </w:tc>
      </w:tr>
      <w:tr w:rsidR="00BE68FD" w14:paraId="485D783E" w14:textId="77777777" w:rsidTr="00AE2CCB">
        <w:tc>
          <w:tcPr>
            <w:tcW w:w="461" w:type="dxa"/>
          </w:tcPr>
          <w:p w14:paraId="72223275" w14:textId="77777777" w:rsidR="00BE68FD" w:rsidRDefault="00BE68FD"/>
        </w:tc>
        <w:tc>
          <w:tcPr>
            <w:tcW w:w="4385" w:type="dxa"/>
          </w:tcPr>
          <w:p w14:paraId="17FF995C" w14:textId="77777777" w:rsidR="00BE68FD" w:rsidRPr="00BE68FD" w:rsidRDefault="00BE68FD">
            <w:pPr>
              <w:rPr>
                <w:b/>
                <w:bCs/>
              </w:rPr>
            </w:pPr>
            <w:r w:rsidRPr="00BE68FD">
              <w:rPr>
                <w:b/>
                <w:bCs/>
              </w:rPr>
              <w:t>Clarification question</w:t>
            </w:r>
          </w:p>
          <w:p w14:paraId="24F69C9B" w14:textId="0949FB36" w:rsidR="00BE68FD" w:rsidRPr="00BE68FD" w:rsidRDefault="00BE68FD">
            <w:pPr>
              <w:rPr>
                <w:b/>
                <w:bCs/>
              </w:rPr>
            </w:pPr>
          </w:p>
        </w:tc>
        <w:tc>
          <w:tcPr>
            <w:tcW w:w="4170" w:type="dxa"/>
          </w:tcPr>
          <w:p w14:paraId="23E2A194" w14:textId="7659EE20" w:rsidR="00BE68FD" w:rsidRPr="00BE68FD" w:rsidRDefault="00BE68FD">
            <w:pPr>
              <w:rPr>
                <w:b/>
                <w:bCs/>
              </w:rPr>
            </w:pPr>
            <w:r w:rsidRPr="00BE68FD">
              <w:rPr>
                <w:b/>
                <w:bCs/>
              </w:rPr>
              <w:t>Response</w:t>
            </w:r>
          </w:p>
        </w:tc>
      </w:tr>
      <w:tr w:rsidR="00BE68FD" w14:paraId="783D1E5A" w14:textId="77777777" w:rsidTr="00AE2CCB">
        <w:tc>
          <w:tcPr>
            <w:tcW w:w="461" w:type="dxa"/>
          </w:tcPr>
          <w:p w14:paraId="15DD2A97" w14:textId="77777777" w:rsidR="00BE68FD" w:rsidRDefault="00BE68FD">
            <w:r>
              <w:t>1</w:t>
            </w:r>
          </w:p>
          <w:p w14:paraId="44DAB552" w14:textId="73112DE5" w:rsidR="00BE68FD" w:rsidRDefault="00BE68FD"/>
        </w:tc>
        <w:tc>
          <w:tcPr>
            <w:tcW w:w="4385" w:type="dxa"/>
          </w:tcPr>
          <w:p w14:paraId="0DFE7B8A" w14:textId="5C485274" w:rsidR="00BE68FD" w:rsidRDefault="00BE68FD">
            <w:r w:rsidRPr="00BE68FD">
              <w:t xml:space="preserve">Could you confirm that the submission is via email at </w:t>
            </w:r>
            <w:hyperlink r:id="rId4" w:history="1">
              <w:r w:rsidRPr="009F6EED">
                <w:rPr>
                  <w:rStyle w:val="Hyperlink"/>
                </w:rPr>
                <w:t>tenders@covenantfund.org.uk</w:t>
              </w:r>
            </w:hyperlink>
          </w:p>
          <w:p w14:paraId="156AD99E" w14:textId="2D816FEA" w:rsidR="00BE68FD" w:rsidRDefault="00BE68FD"/>
        </w:tc>
        <w:tc>
          <w:tcPr>
            <w:tcW w:w="4170" w:type="dxa"/>
          </w:tcPr>
          <w:p w14:paraId="3F2B392C" w14:textId="7395D4C4" w:rsidR="00BE68FD" w:rsidRDefault="00BE68FD">
            <w:r>
              <w:t>Yes, this is correct</w:t>
            </w:r>
          </w:p>
        </w:tc>
      </w:tr>
      <w:tr w:rsidR="00BE68FD" w14:paraId="72073F27" w14:textId="77777777" w:rsidTr="00AE2CCB">
        <w:tc>
          <w:tcPr>
            <w:tcW w:w="461" w:type="dxa"/>
          </w:tcPr>
          <w:p w14:paraId="5BC26CF0" w14:textId="56105877" w:rsidR="00BE68FD" w:rsidRDefault="00BE68FD">
            <w:r>
              <w:t>2</w:t>
            </w:r>
          </w:p>
        </w:tc>
        <w:tc>
          <w:tcPr>
            <w:tcW w:w="4385" w:type="dxa"/>
          </w:tcPr>
          <w:p w14:paraId="612B68E1" w14:textId="77777777" w:rsidR="00BE68FD" w:rsidRDefault="00BE68FD">
            <w:r w:rsidRPr="00BE68FD">
              <w:t>In Section 2 Formatting it says that the response must be up to 12 pages (including attachments) and then in point (f) to attached accounts for last two years.  Could you confirm that these accounts are not part of the word count, as ours are more than 100 pages each and between 17MB and 45MB each?</w:t>
            </w:r>
          </w:p>
          <w:p w14:paraId="4CDA11F9" w14:textId="6AF05C3C" w:rsidR="00A654E8" w:rsidRDefault="00A654E8"/>
        </w:tc>
        <w:tc>
          <w:tcPr>
            <w:tcW w:w="4170" w:type="dxa"/>
          </w:tcPr>
          <w:p w14:paraId="64F04EAD" w14:textId="2B222006" w:rsidR="00BE68FD" w:rsidRDefault="00A654E8">
            <w:r>
              <w:t>Yes, this supporting information can be provided in addition to the word count and attachments. Large files should be compressed in .zip format.</w:t>
            </w:r>
          </w:p>
        </w:tc>
      </w:tr>
      <w:tr w:rsidR="00BE68FD" w14:paraId="483D5BE8" w14:textId="77777777" w:rsidTr="00AE2CCB">
        <w:tc>
          <w:tcPr>
            <w:tcW w:w="461" w:type="dxa"/>
          </w:tcPr>
          <w:p w14:paraId="1B0EA21F" w14:textId="5733596D" w:rsidR="00BE68FD" w:rsidRDefault="00A654E8">
            <w:r>
              <w:t>3</w:t>
            </w:r>
          </w:p>
        </w:tc>
        <w:tc>
          <w:tcPr>
            <w:tcW w:w="4385" w:type="dxa"/>
          </w:tcPr>
          <w:p w14:paraId="1B6E48EB" w14:textId="626D3063" w:rsidR="00BE68FD" w:rsidRDefault="00A654E8">
            <w:r w:rsidRPr="00A654E8">
              <w:t>Also, in reference to point 2 above, is the 12-page response limit solely regarding the questions in the table at Section 5 (5.1).</w:t>
            </w:r>
          </w:p>
        </w:tc>
        <w:tc>
          <w:tcPr>
            <w:tcW w:w="4170" w:type="dxa"/>
          </w:tcPr>
          <w:p w14:paraId="357AB1D7" w14:textId="0B22C8A2" w:rsidR="00BE68FD" w:rsidRDefault="007B0409">
            <w:r>
              <w:t>T</w:t>
            </w:r>
            <w:r w:rsidR="00A654E8">
              <w:t xml:space="preserve">he 12-page response limit refers to the allowance for answers to the 5 technical questions in the table on </w:t>
            </w:r>
            <w:r w:rsidR="00C723BC">
              <w:t>pages 16-17 of the ITT document.</w:t>
            </w:r>
            <w:r w:rsidR="00623CF2">
              <w:t xml:space="preserve"> The commercial element can be submitted in addition</w:t>
            </w:r>
            <w:r w:rsidR="0097398A">
              <w:t xml:space="preserve"> to any page or attachment limits.</w:t>
            </w:r>
          </w:p>
          <w:p w14:paraId="70F0280D" w14:textId="76787E69" w:rsidR="00C723BC" w:rsidRDefault="00C723BC"/>
        </w:tc>
      </w:tr>
      <w:tr w:rsidR="00BE68FD" w14:paraId="2E4B0AB3" w14:textId="77777777" w:rsidTr="00AE2CCB">
        <w:tc>
          <w:tcPr>
            <w:tcW w:w="461" w:type="dxa"/>
          </w:tcPr>
          <w:p w14:paraId="74FB9D62" w14:textId="06559BF1" w:rsidR="00BE68FD" w:rsidRDefault="00101675">
            <w:r>
              <w:t>4</w:t>
            </w:r>
          </w:p>
        </w:tc>
        <w:tc>
          <w:tcPr>
            <w:tcW w:w="4385" w:type="dxa"/>
          </w:tcPr>
          <w:p w14:paraId="471EDEC9" w14:textId="77777777" w:rsidR="00BE68FD" w:rsidRDefault="00101675">
            <w:r w:rsidRPr="00101675">
              <w:t xml:space="preserve">In the checklist box at Section 4 (4.1) you refer to responding to all Technical as specified in Section 10, but I can only see Social Value talked about in Section 14.  Would this response about Social Value be given as a separate attachment with the filename reference of </w:t>
            </w:r>
            <w:proofErr w:type="spellStart"/>
            <w:r w:rsidRPr="00101675">
              <w:t>AFCFT_closed_framework_tender</w:t>
            </w:r>
            <w:proofErr w:type="spellEnd"/>
            <w:r w:rsidRPr="00101675">
              <w:t xml:space="preserve"> [bidder name]?</w:t>
            </w:r>
          </w:p>
          <w:p w14:paraId="73D1AB17" w14:textId="0D699CB5" w:rsidR="00101675" w:rsidRDefault="00101675"/>
        </w:tc>
        <w:tc>
          <w:tcPr>
            <w:tcW w:w="4170" w:type="dxa"/>
          </w:tcPr>
          <w:p w14:paraId="4D9D802D" w14:textId="2F8966E9" w:rsidR="00BE68FD" w:rsidRDefault="00E443DE">
            <w:r>
              <w:t xml:space="preserve">The reference to social value in </w:t>
            </w:r>
            <w:r w:rsidR="009874C5">
              <w:t xml:space="preserve">the check list in </w:t>
            </w:r>
            <w:r w:rsidR="00C742A4">
              <w:t>Section 8</w:t>
            </w:r>
            <w:r w:rsidR="00A85B83">
              <w:t xml:space="preserve"> (4.1) has been removed for clarity</w:t>
            </w:r>
            <w:r w:rsidR="004919EC">
              <w:t xml:space="preserve">. </w:t>
            </w:r>
            <w:r w:rsidR="00A659CE">
              <w:t>Social Value and Sustainability</w:t>
            </w:r>
            <w:r w:rsidR="005E53E1">
              <w:t xml:space="preserve"> as referenced </w:t>
            </w:r>
            <w:r w:rsidR="00871E6A">
              <w:t>in the Service Spec</w:t>
            </w:r>
            <w:r w:rsidR="00102D9D">
              <w:t>ification (Appendix B</w:t>
            </w:r>
            <w:r w:rsidR="00B45EEE">
              <w:t>)</w:t>
            </w:r>
            <w:r w:rsidR="007F5026">
              <w:t xml:space="preserve"> is to be addressed</w:t>
            </w:r>
            <w:r w:rsidR="008339BF">
              <w:t xml:space="preserve"> as appropriate in the Technical </w:t>
            </w:r>
            <w:r w:rsidR="00280D36">
              <w:t>questions</w:t>
            </w:r>
            <w:r w:rsidR="00DC5B2E">
              <w:t xml:space="preserve"> (for example</w:t>
            </w:r>
            <w:r w:rsidR="007671B9">
              <w:t>, T1 and/or T5</w:t>
            </w:r>
            <w:r w:rsidR="00DC6847">
              <w:t>, if relevant).</w:t>
            </w:r>
          </w:p>
        </w:tc>
      </w:tr>
      <w:tr w:rsidR="00C723BC" w14:paraId="1D4454F7" w14:textId="77777777" w:rsidTr="00AE2CCB">
        <w:tc>
          <w:tcPr>
            <w:tcW w:w="461" w:type="dxa"/>
          </w:tcPr>
          <w:p w14:paraId="76D8A8B4" w14:textId="2B3EE1FB" w:rsidR="00C723BC" w:rsidRDefault="00985041">
            <w:r>
              <w:t>5</w:t>
            </w:r>
          </w:p>
        </w:tc>
        <w:tc>
          <w:tcPr>
            <w:tcW w:w="4385" w:type="dxa"/>
          </w:tcPr>
          <w:p w14:paraId="05A9ABBA" w14:textId="77777777" w:rsidR="00C723BC" w:rsidRDefault="00985041">
            <w:r w:rsidRPr="00985041">
              <w:t>In the Appendix C questions, could you confirm that questions 13 and 16 can be filled in as Not Applicable.</w:t>
            </w:r>
          </w:p>
          <w:p w14:paraId="70CCE651" w14:textId="3B6BA251" w:rsidR="00985041" w:rsidRDefault="00985041"/>
        </w:tc>
        <w:tc>
          <w:tcPr>
            <w:tcW w:w="4170" w:type="dxa"/>
          </w:tcPr>
          <w:p w14:paraId="597FB639" w14:textId="1696CF5B" w:rsidR="00C723BC" w:rsidRDefault="00A34A5F">
            <w:r>
              <w:t>Question 13 of the PSQ has been updated to require a Yes or No answer. Question 16 is marked as Not Applicable by default as there are no legal capacity conditions.</w:t>
            </w:r>
          </w:p>
          <w:p w14:paraId="7FACA509" w14:textId="707289DC" w:rsidR="00A34A5F" w:rsidRDefault="00A34A5F"/>
        </w:tc>
      </w:tr>
      <w:tr w:rsidR="00C723BC" w14:paraId="05EDE26D" w14:textId="77777777" w:rsidTr="00AE2CCB">
        <w:tc>
          <w:tcPr>
            <w:tcW w:w="461" w:type="dxa"/>
          </w:tcPr>
          <w:p w14:paraId="617C4399" w14:textId="648B35C4" w:rsidR="00C723BC" w:rsidRDefault="00985041">
            <w:r>
              <w:t>6</w:t>
            </w:r>
          </w:p>
        </w:tc>
        <w:tc>
          <w:tcPr>
            <w:tcW w:w="4385" w:type="dxa"/>
          </w:tcPr>
          <w:p w14:paraId="466546F1" w14:textId="77777777" w:rsidR="00C723BC" w:rsidRDefault="00985041">
            <w:r w:rsidRPr="00985041">
              <w:t>For our final response document can we just start the response at Appendix C (page 37) to with our Technical response to the questions in the table at 5.1 i.e. we don’t return the ITT document in its entirety with sections duly completed.</w:t>
            </w:r>
          </w:p>
          <w:p w14:paraId="773A2370" w14:textId="51EBF7B8" w:rsidR="00985041" w:rsidRDefault="00985041"/>
        </w:tc>
        <w:tc>
          <w:tcPr>
            <w:tcW w:w="4170" w:type="dxa"/>
          </w:tcPr>
          <w:p w14:paraId="0C6E7E3F" w14:textId="5D131D4C" w:rsidR="00C723BC" w:rsidRDefault="0060338D">
            <w:r>
              <w:t>Yes</w:t>
            </w:r>
            <w:r w:rsidR="00370313">
              <w:t xml:space="preserve">, the final response document </w:t>
            </w:r>
            <w:r w:rsidR="001D20FC">
              <w:t>should begin with the PSQ (Appendix</w:t>
            </w:r>
            <w:r w:rsidR="00BD668D">
              <w:t xml:space="preserve"> C), then responses to the Technical questions</w:t>
            </w:r>
            <w:r w:rsidR="00734B87">
              <w:t xml:space="preserve">, then </w:t>
            </w:r>
            <w:r w:rsidR="00F30AA7">
              <w:t>the completed Rate Card (Appendix G) and so on</w:t>
            </w:r>
            <w:r w:rsidR="00104705">
              <w:t>.</w:t>
            </w:r>
          </w:p>
        </w:tc>
      </w:tr>
      <w:tr w:rsidR="00C723BC" w14:paraId="2462E283" w14:textId="77777777" w:rsidTr="00AE2CCB">
        <w:tc>
          <w:tcPr>
            <w:tcW w:w="461" w:type="dxa"/>
          </w:tcPr>
          <w:p w14:paraId="1214112B" w14:textId="123BA2DF" w:rsidR="00C723BC" w:rsidRDefault="00985041">
            <w:r>
              <w:t>7</w:t>
            </w:r>
          </w:p>
        </w:tc>
        <w:tc>
          <w:tcPr>
            <w:tcW w:w="4385" w:type="dxa"/>
          </w:tcPr>
          <w:p w14:paraId="26E3607C" w14:textId="108C5311" w:rsidR="00C723BC" w:rsidRDefault="00985041">
            <w:r w:rsidRPr="00985041">
              <w:t>Is there any budget cap, or estimated level of spending for this framework? (this could be per year, or for the total framework duration)</w:t>
            </w:r>
            <w:r w:rsidR="00A34A5F">
              <w:t>.</w:t>
            </w:r>
          </w:p>
        </w:tc>
        <w:tc>
          <w:tcPr>
            <w:tcW w:w="4170" w:type="dxa"/>
          </w:tcPr>
          <w:p w14:paraId="7AFEB832" w14:textId="77777777" w:rsidR="00C723BC" w:rsidRDefault="00985041">
            <w:r w:rsidRPr="00985041">
              <w:t xml:space="preserve">The estimated value of the Framework over 4 years, as per the tender notice, is £500,000. Furthermore, Section 3.2 a of Appendix B also states that call-off contracts can range from £30,000-£50,000 or £80,000-£120,000, depending on the project and the available budget, but would typically not </w:t>
            </w:r>
            <w:r w:rsidRPr="00985041">
              <w:lastRenderedPageBreak/>
              <w:t>exceed £200,000 for complex, multi-year programme evaluations.</w:t>
            </w:r>
          </w:p>
          <w:p w14:paraId="7BF941EC" w14:textId="6ECE2A04" w:rsidR="00985041" w:rsidRDefault="00985041"/>
        </w:tc>
      </w:tr>
      <w:tr w:rsidR="00C723BC" w14:paraId="1093D62A" w14:textId="77777777" w:rsidTr="00AE2CCB">
        <w:tc>
          <w:tcPr>
            <w:tcW w:w="461" w:type="dxa"/>
          </w:tcPr>
          <w:p w14:paraId="00988519" w14:textId="18ED3F97" w:rsidR="00C723BC" w:rsidRDefault="00985041">
            <w:r>
              <w:lastRenderedPageBreak/>
              <w:t>8</w:t>
            </w:r>
          </w:p>
        </w:tc>
        <w:tc>
          <w:tcPr>
            <w:tcW w:w="4385" w:type="dxa"/>
          </w:tcPr>
          <w:p w14:paraId="7636CAD3" w14:textId="725B7AF4" w:rsidR="00C723BC" w:rsidRDefault="00985041">
            <w:r w:rsidRPr="00985041">
              <w:t>Do you have an estimate for the number of projects you are expecting to commission through this framework? (this could be per year, or for the total framework duration)</w:t>
            </w:r>
            <w:r w:rsidR="00A34A5F">
              <w:t>.</w:t>
            </w:r>
          </w:p>
        </w:tc>
        <w:tc>
          <w:tcPr>
            <w:tcW w:w="4170" w:type="dxa"/>
          </w:tcPr>
          <w:p w14:paraId="7E7CEB28" w14:textId="77777777" w:rsidR="00C723BC" w:rsidRDefault="00985041">
            <w:r w:rsidRPr="00985041">
              <w:t>Estimated up to 3 call-offs per year, although the Trust makes no commitments to the number of contracts that might be available over the course of the Framework.</w:t>
            </w:r>
          </w:p>
          <w:p w14:paraId="2F0FEA14" w14:textId="0386781B" w:rsidR="00985041" w:rsidRDefault="00985041"/>
        </w:tc>
      </w:tr>
      <w:tr w:rsidR="00C723BC" w14:paraId="699A8663" w14:textId="77777777" w:rsidTr="00AE2CCB">
        <w:tc>
          <w:tcPr>
            <w:tcW w:w="461" w:type="dxa"/>
          </w:tcPr>
          <w:p w14:paraId="128BB505" w14:textId="19564E00" w:rsidR="00C723BC" w:rsidRDefault="00985041">
            <w:r>
              <w:t>9</w:t>
            </w:r>
          </w:p>
        </w:tc>
        <w:tc>
          <w:tcPr>
            <w:tcW w:w="4385" w:type="dxa"/>
          </w:tcPr>
          <w:p w14:paraId="2FDACF4D" w14:textId="460DFCB9" w:rsidR="00C723BC" w:rsidRDefault="00985041">
            <w:r w:rsidRPr="00985041">
              <w:t>Would the aut</w:t>
            </w:r>
            <w:r>
              <w:t>hority</w:t>
            </w:r>
            <w:r w:rsidRPr="00985041">
              <w:t xml:space="preserve"> be able to confirm whether the overall budget for this framework is £500,000 as per the find a tender notice?</w:t>
            </w:r>
          </w:p>
          <w:p w14:paraId="14AC374B" w14:textId="0EE07D1F" w:rsidR="00985041" w:rsidRDefault="00985041"/>
        </w:tc>
        <w:tc>
          <w:tcPr>
            <w:tcW w:w="4170" w:type="dxa"/>
          </w:tcPr>
          <w:p w14:paraId="2DD1EDBF" w14:textId="38370EAE" w:rsidR="00C723BC" w:rsidRDefault="00985041">
            <w:r w:rsidRPr="00985041">
              <w:t>The estimated budget over the course of this Framework is £500,000, as per the tender notice, although this may vary according to the Trust's requirements.</w:t>
            </w:r>
          </w:p>
        </w:tc>
      </w:tr>
      <w:tr w:rsidR="00A34A5F" w14:paraId="69D88408" w14:textId="77777777" w:rsidTr="00AE2CCB">
        <w:tc>
          <w:tcPr>
            <w:tcW w:w="461" w:type="dxa"/>
          </w:tcPr>
          <w:p w14:paraId="61F1AF0F" w14:textId="7825D289" w:rsidR="00A34A5F" w:rsidRDefault="00A34A5F">
            <w:r>
              <w:t>10</w:t>
            </w:r>
          </w:p>
        </w:tc>
        <w:tc>
          <w:tcPr>
            <w:tcW w:w="4385" w:type="dxa"/>
          </w:tcPr>
          <w:p w14:paraId="36FFDB49" w14:textId="3A88E34B" w:rsidR="00A34A5F" w:rsidRDefault="00A34A5F">
            <w:r w:rsidRPr="00A34A5F">
              <w:t>Would it please be possible to confirm the minimum required values for the insurance requirements at question 15 (</w:t>
            </w:r>
            <w:proofErr w:type="spellStart"/>
            <w:r w:rsidRPr="00A34A5F">
              <w:t>pg</w:t>
            </w:r>
            <w:proofErr w:type="spellEnd"/>
            <w:r w:rsidRPr="00A34A5F">
              <w:t xml:space="preserve"> 41 of the ITT)</w:t>
            </w:r>
            <w:r>
              <w:t>.</w:t>
            </w:r>
          </w:p>
          <w:p w14:paraId="0FD5C17F" w14:textId="4643448E" w:rsidR="00A34A5F" w:rsidRPr="00985041" w:rsidRDefault="00A34A5F"/>
        </w:tc>
        <w:tc>
          <w:tcPr>
            <w:tcW w:w="4170" w:type="dxa"/>
          </w:tcPr>
          <w:p w14:paraId="166CDFF5" w14:textId="3307176C" w:rsidR="00A34A5F" w:rsidRPr="00985041" w:rsidRDefault="00A34A5F">
            <w:r>
              <w:t>The insurance requirements in Question 15 of the ITT have been updated.</w:t>
            </w:r>
          </w:p>
        </w:tc>
      </w:tr>
      <w:tr w:rsidR="00AE2CCB" w14:paraId="19145258" w14:textId="77777777" w:rsidTr="00AE2CCB">
        <w:tc>
          <w:tcPr>
            <w:tcW w:w="461" w:type="dxa"/>
          </w:tcPr>
          <w:p w14:paraId="2DC0C0E2" w14:textId="6E3A5805" w:rsidR="00AE2CCB" w:rsidRDefault="00AE2CCB">
            <w:r>
              <w:t>11</w:t>
            </w:r>
          </w:p>
        </w:tc>
        <w:tc>
          <w:tcPr>
            <w:tcW w:w="4385" w:type="dxa"/>
          </w:tcPr>
          <w:p w14:paraId="7144DFE8" w14:textId="77777777" w:rsidR="00AE2CCB" w:rsidRDefault="00BE6A89" w:rsidP="00BE6A89">
            <w:r>
              <w:t>In the example Day Rate card it details a specific number of days, together with a day rate. The total value of the contract over 4 years is £500,000.  Your clarification response estimates 3 call-offs per year – meaning a total of 9 potential call-offs.</w:t>
            </w:r>
            <w:r w:rsidR="00A8556A">
              <w:t xml:space="preserve"> </w:t>
            </w:r>
            <w:r>
              <w:t>As each call-off could have differing number of days and team members and expenses involved, could you clarify whether this rate card should just give the day rates for each category with the number of days left as TBC.  The total cost would then be inserted as £500k?</w:t>
            </w:r>
          </w:p>
          <w:p w14:paraId="56B46F8C" w14:textId="3A38C359" w:rsidR="00A8556A" w:rsidRPr="00A34A5F" w:rsidRDefault="00A8556A" w:rsidP="00BE6A89"/>
        </w:tc>
        <w:tc>
          <w:tcPr>
            <w:tcW w:w="4170" w:type="dxa"/>
          </w:tcPr>
          <w:p w14:paraId="586B81DB" w14:textId="77777777" w:rsidR="00AE2CCB" w:rsidRDefault="00D17CE9">
            <w:r>
              <w:t xml:space="preserve">The </w:t>
            </w:r>
            <w:r w:rsidR="005926AB">
              <w:t>calculations</w:t>
            </w:r>
            <w:r w:rsidR="00C46B65">
              <w:t xml:space="preserve"> re</w:t>
            </w:r>
            <w:r w:rsidR="001C0314">
              <w:t>quested</w:t>
            </w:r>
            <w:r w:rsidR="00C46B65">
              <w:t xml:space="preserve"> in the Rate Card</w:t>
            </w:r>
            <w:r w:rsidR="001C0314">
              <w:t xml:space="preserve"> are separate to and independent of</w:t>
            </w:r>
            <w:r w:rsidR="00F144C7">
              <w:t xml:space="preserve"> estimates</w:t>
            </w:r>
            <w:r w:rsidR="007A24E4">
              <w:t xml:space="preserve"> of budgets or potential call-offs given elsewhere</w:t>
            </w:r>
            <w:r w:rsidR="003308DA">
              <w:t>.</w:t>
            </w:r>
          </w:p>
          <w:p w14:paraId="4DBA2BB5" w14:textId="77777777" w:rsidR="003308DA" w:rsidRDefault="003308DA"/>
          <w:p w14:paraId="632838B5" w14:textId="7455F3CB" w:rsidR="003308DA" w:rsidRDefault="003308DA">
            <w:r>
              <w:t xml:space="preserve">Example </w:t>
            </w:r>
            <w:r w:rsidR="00147CC0">
              <w:t xml:space="preserve">figures for the Rate Card: </w:t>
            </w:r>
            <w:r w:rsidR="00450810">
              <w:t xml:space="preserve">the day rate for a Director </w:t>
            </w:r>
            <w:r w:rsidR="00B33F49">
              <w:t>is £500</w:t>
            </w:r>
            <w:r w:rsidR="001C646F">
              <w:t>; this is multiplied</w:t>
            </w:r>
            <w:r w:rsidR="00DE211D">
              <w:t xml:space="preserve"> by 20 days</w:t>
            </w:r>
            <w:r w:rsidR="00221DA7">
              <w:t xml:space="preserve"> (hypothetical</w:t>
            </w:r>
            <w:r w:rsidR="00856468">
              <w:t xml:space="preserve"> number of days working on a project) = £10,000</w:t>
            </w:r>
            <w:r w:rsidR="000E3D1A">
              <w:t xml:space="preserve"> </w:t>
            </w:r>
            <w:r w:rsidR="002D06B9">
              <w:t>(Total £)</w:t>
            </w:r>
            <w:r w:rsidR="00B07E61">
              <w:t>. This is done for each role as appropriate</w:t>
            </w:r>
            <w:r w:rsidR="00DF6E42">
              <w:t xml:space="preserve">. The average cost across the team </w:t>
            </w:r>
            <w:r w:rsidR="00FB001F">
              <w:t>can then be calculated.</w:t>
            </w:r>
          </w:p>
        </w:tc>
      </w:tr>
      <w:tr w:rsidR="00AE2CCB" w14:paraId="48077D7B" w14:textId="77777777" w:rsidTr="00AE2CCB">
        <w:tc>
          <w:tcPr>
            <w:tcW w:w="461" w:type="dxa"/>
          </w:tcPr>
          <w:p w14:paraId="3BA7C499" w14:textId="46E4BFB1" w:rsidR="00AE2CCB" w:rsidRDefault="00425A44">
            <w:r>
              <w:t>12</w:t>
            </w:r>
          </w:p>
        </w:tc>
        <w:tc>
          <w:tcPr>
            <w:tcW w:w="4385" w:type="dxa"/>
          </w:tcPr>
          <w:p w14:paraId="656A0261" w14:textId="77777777" w:rsidR="00AE2CCB" w:rsidRDefault="00425A44">
            <w:r w:rsidRPr="00425A44">
              <w:t>In Section 5.1 the ITT says “Provide up to three examples of previous projects. You can expand on the examples used in the PSQ or use additional examples”. Can the Trust confirm that suppliers can list more than three projects in the Technical Envelope to outline relevant experience and capabilities? Listing only three projects would significantly limit the ability of suppliers to demonstrate breadth of relevant skills and experience.</w:t>
            </w:r>
          </w:p>
          <w:p w14:paraId="2E2DF820" w14:textId="5F6B9F55" w:rsidR="00C81C1E" w:rsidRPr="00A34A5F" w:rsidRDefault="00C81C1E"/>
        </w:tc>
        <w:tc>
          <w:tcPr>
            <w:tcW w:w="4170" w:type="dxa"/>
          </w:tcPr>
          <w:p w14:paraId="3494B599" w14:textId="3139A03F" w:rsidR="00AE2CCB" w:rsidRDefault="006A6DE3">
            <w:r>
              <w:t xml:space="preserve">Bidders </w:t>
            </w:r>
            <w:r w:rsidR="00901ABA">
              <w:t>can provide up to 3 examples of previous projects</w:t>
            </w:r>
            <w:r w:rsidR="007A29A5">
              <w:t xml:space="preserve"> in Technical Q1</w:t>
            </w:r>
            <w:r w:rsidR="00BC129C">
              <w:t xml:space="preserve">. </w:t>
            </w:r>
            <w:r w:rsidR="00FD67BF">
              <w:t>The PSQ</w:t>
            </w:r>
            <w:r w:rsidR="00243D26">
              <w:t xml:space="preserve"> also has scope for 3 examples</w:t>
            </w:r>
            <w:r w:rsidR="00CF53CB">
              <w:t xml:space="preserve">. </w:t>
            </w:r>
            <w:r w:rsidR="00F2547C">
              <w:t>So newer organisation</w:t>
            </w:r>
            <w:r w:rsidR="001648E9">
              <w:t>s</w:t>
            </w:r>
            <w:r w:rsidR="00F2547C">
              <w:t xml:space="preserve"> are not </w:t>
            </w:r>
            <w:r w:rsidR="000F293E">
              <w:t>unduly</w:t>
            </w:r>
            <w:r w:rsidR="002051A5">
              <w:t xml:space="preserve"> </w:t>
            </w:r>
            <w:r w:rsidR="00F2547C">
              <w:t>disadvantaged</w:t>
            </w:r>
            <w:r w:rsidR="00644639">
              <w:t>, the same examples can be used</w:t>
            </w:r>
            <w:r w:rsidR="001648E9">
              <w:t xml:space="preserve"> if necessary</w:t>
            </w:r>
            <w:r w:rsidR="00F55173">
              <w:t>. Mo</w:t>
            </w:r>
            <w:r w:rsidR="00B1377A">
              <w:t>re experienced organisations</w:t>
            </w:r>
            <w:r w:rsidR="000175F4">
              <w:t xml:space="preserve"> may have more examples </w:t>
            </w:r>
            <w:r w:rsidR="00731C13">
              <w:t>at their disposal</w:t>
            </w:r>
            <w:r w:rsidR="008A523F">
              <w:t>, in which case there is scope for 6 examples</w:t>
            </w:r>
            <w:r w:rsidR="00E2292C">
              <w:t>.</w:t>
            </w:r>
          </w:p>
        </w:tc>
      </w:tr>
      <w:tr w:rsidR="00AE2CCB" w14:paraId="12234F26" w14:textId="77777777" w:rsidTr="00AE2CCB">
        <w:tc>
          <w:tcPr>
            <w:tcW w:w="461" w:type="dxa"/>
          </w:tcPr>
          <w:p w14:paraId="6265BBC9" w14:textId="5569AB00" w:rsidR="00AE2CCB" w:rsidRDefault="00F60663">
            <w:r>
              <w:t>13</w:t>
            </w:r>
          </w:p>
        </w:tc>
        <w:tc>
          <w:tcPr>
            <w:tcW w:w="4385" w:type="dxa"/>
          </w:tcPr>
          <w:p w14:paraId="292EE7A4" w14:textId="77777777" w:rsidR="00AE2CCB" w:rsidRDefault="00F60663">
            <w:r w:rsidRPr="00F60663">
              <w:t>In Section 5.1, suppliers are asked to “Provide short profiles of the core team who would lead and deliver work under this framework”. Does the Trust expect this core team to include all the roles listed on the rate card in Appendix G?</w:t>
            </w:r>
          </w:p>
          <w:p w14:paraId="73E201A2" w14:textId="52D5B181" w:rsidR="00D46290" w:rsidRPr="00A34A5F" w:rsidRDefault="00D46290"/>
        </w:tc>
        <w:tc>
          <w:tcPr>
            <w:tcW w:w="4170" w:type="dxa"/>
          </w:tcPr>
          <w:p w14:paraId="4065881B" w14:textId="6599391F" w:rsidR="00AE2CCB" w:rsidRDefault="00D46290">
            <w:r>
              <w:t>No.</w:t>
            </w:r>
          </w:p>
        </w:tc>
      </w:tr>
      <w:tr w:rsidR="00425A44" w14:paraId="730CC91B" w14:textId="77777777" w:rsidTr="00AE2CCB">
        <w:tc>
          <w:tcPr>
            <w:tcW w:w="461" w:type="dxa"/>
          </w:tcPr>
          <w:p w14:paraId="7DBD87A5" w14:textId="6B83767C" w:rsidR="00425A44" w:rsidRDefault="00925141">
            <w:r>
              <w:lastRenderedPageBreak/>
              <w:t>14</w:t>
            </w:r>
          </w:p>
        </w:tc>
        <w:tc>
          <w:tcPr>
            <w:tcW w:w="4385" w:type="dxa"/>
          </w:tcPr>
          <w:p w14:paraId="2E42E8C8" w14:textId="77777777" w:rsidR="00425A44" w:rsidRDefault="00925141">
            <w:r w:rsidRPr="00925141">
              <w:t xml:space="preserve">Can the Trust clarify if the </w:t>
            </w:r>
            <w:proofErr w:type="gramStart"/>
            <w:r w:rsidRPr="00925141">
              <w:t>12 page</w:t>
            </w:r>
            <w:proofErr w:type="gramEnd"/>
            <w:r w:rsidRPr="00925141">
              <w:t xml:space="preserve"> limit for proposals includes the Commercial Envelope, or only the Technical Envelope?</w:t>
            </w:r>
          </w:p>
          <w:p w14:paraId="6B09AE5D" w14:textId="00B7E75E" w:rsidR="003E28F2" w:rsidRPr="00A34A5F" w:rsidRDefault="003E28F2"/>
        </w:tc>
        <w:tc>
          <w:tcPr>
            <w:tcW w:w="4170" w:type="dxa"/>
          </w:tcPr>
          <w:p w14:paraId="7BEBDD4A" w14:textId="77777777" w:rsidR="0097398A" w:rsidRDefault="0097398A" w:rsidP="0097398A">
            <w:r>
              <w:t>The 12-page response limit refers to the allowance for answers to the 5 technical questions in the table on pages 16-17 of the ITT document. The commercial element can be submitted in addition to any page or attachment limits.</w:t>
            </w:r>
          </w:p>
          <w:p w14:paraId="6D731580" w14:textId="175390EF" w:rsidR="00425A44" w:rsidRDefault="00425A44"/>
        </w:tc>
      </w:tr>
      <w:tr w:rsidR="00425A44" w14:paraId="1023FE47" w14:textId="77777777" w:rsidTr="00AE2CCB">
        <w:tc>
          <w:tcPr>
            <w:tcW w:w="461" w:type="dxa"/>
          </w:tcPr>
          <w:p w14:paraId="4C8C0985" w14:textId="1DD0225A" w:rsidR="00425A44" w:rsidRDefault="00925141">
            <w:r>
              <w:t>15</w:t>
            </w:r>
          </w:p>
        </w:tc>
        <w:tc>
          <w:tcPr>
            <w:tcW w:w="4385" w:type="dxa"/>
          </w:tcPr>
          <w:p w14:paraId="21E16BE2" w14:textId="01E270EC" w:rsidR="00425A44" w:rsidRDefault="00F96306">
            <w:r w:rsidRPr="00F96306">
              <w:t>The page limit does not allow for the inclusion of comprehensive bios or CVs for relevant staff. Would the Trust consider allowing bidders to include hyperlinks to researchers</w:t>
            </w:r>
            <w:r w:rsidR="00015B97">
              <w:t>’</w:t>
            </w:r>
            <w:r w:rsidRPr="00F96306">
              <w:t xml:space="preserve"> public bios in the Technical Envelopes, so that we can include all relevant staff credentials?</w:t>
            </w:r>
          </w:p>
          <w:p w14:paraId="3355FEC5" w14:textId="32A0FBB6" w:rsidR="003E28F2" w:rsidRPr="00A34A5F" w:rsidRDefault="003E28F2"/>
        </w:tc>
        <w:tc>
          <w:tcPr>
            <w:tcW w:w="4170" w:type="dxa"/>
          </w:tcPr>
          <w:p w14:paraId="051BA20A" w14:textId="00C8DACD" w:rsidR="00425A44" w:rsidRDefault="00097AA9">
            <w:r>
              <w:t>T</w:t>
            </w:r>
            <w:r w:rsidR="0063148F">
              <w:t>he ITT requests short profiles of the core team</w:t>
            </w:r>
            <w:r w:rsidR="000D7357">
              <w:t>, not comprehensive biographies.</w:t>
            </w:r>
            <w:r w:rsidR="006D5971">
              <w:t xml:space="preserve"> </w:t>
            </w:r>
            <w:r w:rsidR="00DC1D34">
              <w:t xml:space="preserve">References to external </w:t>
            </w:r>
            <w:r w:rsidR="00333C15">
              <w:t>biograp</w:t>
            </w:r>
            <w:r w:rsidR="002D4348">
              <w:t>hies will be permitted if necessary.</w:t>
            </w:r>
          </w:p>
        </w:tc>
      </w:tr>
      <w:tr w:rsidR="00425A44" w14:paraId="0022B380" w14:textId="77777777" w:rsidTr="00AE2CCB">
        <w:tc>
          <w:tcPr>
            <w:tcW w:w="461" w:type="dxa"/>
          </w:tcPr>
          <w:p w14:paraId="4FDE9673" w14:textId="69884130" w:rsidR="00425A44" w:rsidRDefault="00F96306">
            <w:r>
              <w:t>16</w:t>
            </w:r>
          </w:p>
        </w:tc>
        <w:tc>
          <w:tcPr>
            <w:tcW w:w="4385" w:type="dxa"/>
          </w:tcPr>
          <w:p w14:paraId="432D45CB" w14:textId="77777777" w:rsidR="00425A44" w:rsidRDefault="000E4AB0">
            <w:r w:rsidRPr="000E4AB0">
              <w:t xml:space="preserve">Could the Trust confirm that the obligation to promote the Trust’s interests in clause 3.2 of the Agreement will always be subject to the Contractor’s Articles of Association </w:t>
            </w:r>
            <w:proofErr w:type="gramStart"/>
            <w:r w:rsidRPr="000E4AB0">
              <w:t>so as to</w:t>
            </w:r>
            <w:proofErr w:type="gramEnd"/>
            <w:r w:rsidRPr="000E4AB0">
              <w:t xml:space="preserve"> not affect the Contractor’s independence.</w:t>
            </w:r>
          </w:p>
          <w:p w14:paraId="293E9D82" w14:textId="118DA686" w:rsidR="003E28F2" w:rsidRPr="00A34A5F" w:rsidRDefault="003E28F2"/>
        </w:tc>
        <w:tc>
          <w:tcPr>
            <w:tcW w:w="4170" w:type="dxa"/>
          </w:tcPr>
          <w:p w14:paraId="622D54FF" w14:textId="1E9DC803" w:rsidR="00425A44" w:rsidRDefault="009001F3">
            <w:r>
              <w:t>Any requirement to promote the Trust’s interests does not seek to override</w:t>
            </w:r>
            <w:r w:rsidR="009B468A">
              <w:t xml:space="preserve"> any Articles of Association</w:t>
            </w:r>
            <w:r w:rsidR="006D6DD0">
              <w:t xml:space="preserve">, </w:t>
            </w:r>
            <w:r w:rsidR="009B468A">
              <w:t>other governing documents</w:t>
            </w:r>
            <w:r w:rsidR="005C6480">
              <w:t xml:space="preserve"> or the independence</w:t>
            </w:r>
            <w:r w:rsidR="006D6DD0">
              <w:t xml:space="preserve"> of contractors.</w:t>
            </w:r>
          </w:p>
        </w:tc>
      </w:tr>
      <w:tr w:rsidR="00425A44" w14:paraId="1CD0CE63" w14:textId="77777777" w:rsidTr="00AE2CCB">
        <w:tc>
          <w:tcPr>
            <w:tcW w:w="461" w:type="dxa"/>
          </w:tcPr>
          <w:p w14:paraId="4E4CE873" w14:textId="0C0BB034" w:rsidR="00425A44" w:rsidRDefault="000E4AB0">
            <w:r>
              <w:t>17</w:t>
            </w:r>
          </w:p>
        </w:tc>
        <w:tc>
          <w:tcPr>
            <w:tcW w:w="4385" w:type="dxa"/>
          </w:tcPr>
          <w:p w14:paraId="5A48ECB3" w14:textId="77777777" w:rsidR="00425A44" w:rsidRDefault="000E4AB0">
            <w:r w:rsidRPr="000E4AB0">
              <w:t xml:space="preserve">Could the Trust confirm that the Contractor will be permitted to use the results of framework projects for further research and publish. The Contractor regularly publishes the results of its research for the public benefit. We would appreciate the rights to re-use and increase the reach of the work conducted for the Trust. If not, will this be confirmed in each </w:t>
            </w:r>
            <w:proofErr w:type="spellStart"/>
            <w:r w:rsidRPr="000E4AB0">
              <w:t>RfP</w:t>
            </w:r>
            <w:proofErr w:type="spellEnd"/>
            <w:r w:rsidRPr="000E4AB0">
              <w:t xml:space="preserve"> issued under the framework?</w:t>
            </w:r>
          </w:p>
          <w:p w14:paraId="777E7165" w14:textId="1F58260E" w:rsidR="003E28F2" w:rsidRPr="00A34A5F" w:rsidRDefault="003E28F2"/>
        </w:tc>
        <w:tc>
          <w:tcPr>
            <w:tcW w:w="4170" w:type="dxa"/>
          </w:tcPr>
          <w:p w14:paraId="48D13450" w14:textId="590B3A87" w:rsidR="00425A44" w:rsidRDefault="00847543">
            <w:r>
              <w:t>Permission to u</w:t>
            </w:r>
            <w:r w:rsidR="00743963">
              <w:t xml:space="preserve">se of data and </w:t>
            </w:r>
            <w:r w:rsidR="0082478F">
              <w:t xml:space="preserve">results from </w:t>
            </w:r>
            <w:r w:rsidR="00603796">
              <w:t>research contracts under this Framework</w:t>
            </w:r>
            <w:r>
              <w:t xml:space="preserve"> for further work </w:t>
            </w:r>
            <w:r w:rsidR="00A920E2">
              <w:t>will not be unreasonably withheld</w:t>
            </w:r>
            <w:r w:rsidR="00215BFA">
              <w:t>, subject to any specific re</w:t>
            </w:r>
            <w:r w:rsidR="006B65C9">
              <w:t xml:space="preserve">strictions that may be </w:t>
            </w:r>
            <w:r w:rsidR="009039FA">
              <w:t xml:space="preserve">necessary in </w:t>
            </w:r>
            <w:r w:rsidR="00E57578">
              <w:t xml:space="preserve">individual call-offs. </w:t>
            </w:r>
            <w:r w:rsidR="002B3A28">
              <w:t xml:space="preserve">Outputs </w:t>
            </w:r>
            <w:r w:rsidR="00834024">
              <w:t xml:space="preserve">from any research and evaluation </w:t>
            </w:r>
            <w:r w:rsidR="00F44094">
              <w:t xml:space="preserve">contracts with the Trust are routinely published for the </w:t>
            </w:r>
            <w:r w:rsidR="003E28F2">
              <w:t>public benefit.</w:t>
            </w:r>
          </w:p>
        </w:tc>
      </w:tr>
      <w:tr w:rsidR="00425A44" w14:paraId="55AA923A" w14:textId="77777777" w:rsidTr="00AE2CCB">
        <w:tc>
          <w:tcPr>
            <w:tcW w:w="461" w:type="dxa"/>
          </w:tcPr>
          <w:p w14:paraId="118A5FF8" w14:textId="47349536" w:rsidR="00425A44" w:rsidRDefault="00180EDC">
            <w:r>
              <w:t>18</w:t>
            </w:r>
          </w:p>
        </w:tc>
        <w:tc>
          <w:tcPr>
            <w:tcW w:w="4385" w:type="dxa"/>
          </w:tcPr>
          <w:p w14:paraId="0DDFEFC9" w14:textId="77777777" w:rsidR="00425A44" w:rsidRDefault="00180EDC">
            <w:r w:rsidRPr="00180EDC">
              <w:t>Please could the Trust clarify that the Contractor’s pre-existing IP will not be transferred to the Trust under clause 9.2 of the Agreement where such IP is developed for a project.</w:t>
            </w:r>
          </w:p>
          <w:p w14:paraId="049062D2" w14:textId="6006D752" w:rsidR="003E28F2" w:rsidRPr="00A34A5F" w:rsidRDefault="003E28F2"/>
        </w:tc>
        <w:tc>
          <w:tcPr>
            <w:tcW w:w="4170" w:type="dxa"/>
          </w:tcPr>
          <w:p w14:paraId="322BCED5" w14:textId="7709E78E" w:rsidR="00425A44" w:rsidRDefault="00544F7B">
            <w:r>
              <w:t>Pre</w:t>
            </w:r>
            <w:r w:rsidR="00412F26">
              <w:t>-existing IP will not be required to be transferred to the Trust.</w:t>
            </w:r>
          </w:p>
        </w:tc>
      </w:tr>
      <w:tr w:rsidR="00425A44" w14:paraId="5CAB9B23" w14:textId="77777777" w:rsidTr="00AE2CCB">
        <w:tc>
          <w:tcPr>
            <w:tcW w:w="461" w:type="dxa"/>
          </w:tcPr>
          <w:p w14:paraId="0BB8948A" w14:textId="0B922125" w:rsidR="00425A44" w:rsidRDefault="00180EDC">
            <w:r>
              <w:t>19</w:t>
            </w:r>
          </w:p>
        </w:tc>
        <w:tc>
          <w:tcPr>
            <w:tcW w:w="4385" w:type="dxa"/>
          </w:tcPr>
          <w:p w14:paraId="5E8D05E5" w14:textId="77777777" w:rsidR="00425A44" w:rsidRDefault="00B16E88">
            <w:r w:rsidRPr="00B16E88">
              <w:t>Could the Trust clarify that the right to request meetings and progress reports under clause 10.1 be as reasonably requested.</w:t>
            </w:r>
          </w:p>
          <w:p w14:paraId="432720F7" w14:textId="1F296814" w:rsidR="003E28F2" w:rsidRPr="00A34A5F" w:rsidRDefault="003E28F2"/>
        </w:tc>
        <w:tc>
          <w:tcPr>
            <w:tcW w:w="4170" w:type="dxa"/>
          </w:tcPr>
          <w:p w14:paraId="4F286B5C" w14:textId="2F056AC5" w:rsidR="00425A44" w:rsidRDefault="005C6BE7">
            <w:r>
              <w:t xml:space="preserve">Requests for meetings and progress reports will </w:t>
            </w:r>
            <w:r w:rsidR="00DF7EA6">
              <w:t>be reasonable and proportionate</w:t>
            </w:r>
            <w:r w:rsidR="008664AE">
              <w:t>.</w:t>
            </w:r>
          </w:p>
        </w:tc>
      </w:tr>
      <w:tr w:rsidR="00425A44" w14:paraId="1439EAE8" w14:textId="77777777" w:rsidTr="00AE2CCB">
        <w:tc>
          <w:tcPr>
            <w:tcW w:w="461" w:type="dxa"/>
          </w:tcPr>
          <w:p w14:paraId="3E6B6B13" w14:textId="677F3D95" w:rsidR="00425A44" w:rsidRDefault="00B16E88">
            <w:r>
              <w:t>20</w:t>
            </w:r>
          </w:p>
        </w:tc>
        <w:tc>
          <w:tcPr>
            <w:tcW w:w="4385" w:type="dxa"/>
          </w:tcPr>
          <w:p w14:paraId="0F7296CA" w14:textId="77777777" w:rsidR="00425A44" w:rsidRDefault="00B16E88">
            <w:r w:rsidRPr="00B16E88">
              <w:t xml:space="preserve">Could the Trust clarify whether any projects will require DBS checks. If not, will this be confirmed in each </w:t>
            </w:r>
            <w:proofErr w:type="spellStart"/>
            <w:r w:rsidRPr="00B16E88">
              <w:t>RfP</w:t>
            </w:r>
            <w:proofErr w:type="spellEnd"/>
            <w:r w:rsidRPr="00B16E88">
              <w:t xml:space="preserve"> issued under the framework?</w:t>
            </w:r>
          </w:p>
          <w:p w14:paraId="39F79E2E" w14:textId="57FCC08A" w:rsidR="003E28F2" w:rsidRPr="00A34A5F" w:rsidRDefault="003E28F2"/>
        </w:tc>
        <w:tc>
          <w:tcPr>
            <w:tcW w:w="4170" w:type="dxa"/>
          </w:tcPr>
          <w:p w14:paraId="6B7C223A" w14:textId="4E5F4DFF" w:rsidR="00425A44" w:rsidRDefault="008664AE">
            <w:r>
              <w:t xml:space="preserve">Any requirements for </w:t>
            </w:r>
            <w:r w:rsidR="003B2F8F">
              <w:t xml:space="preserve">DBS checks will be </w:t>
            </w:r>
            <w:r w:rsidR="00A2125E">
              <w:t>stated in call-off ITTs</w:t>
            </w:r>
            <w:r w:rsidR="00561CDC">
              <w:t xml:space="preserve"> </w:t>
            </w:r>
            <w:r w:rsidR="00FB263A">
              <w:t>if</w:t>
            </w:r>
            <w:r w:rsidR="00561CDC">
              <w:t xml:space="preserve"> relevant.</w:t>
            </w:r>
          </w:p>
        </w:tc>
      </w:tr>
      <w:tr w:rsidR="00425A44" w14:paraId="6DE18DA4" w14:textId="77777777" w:rsidTr="00AE2CCB">
        <w:tc>
          <w:tcPr>
            <w:tcW w:w="461" w:type="dxa"/>
          </w:tcPr>
          <w:p w14:paraId="0CF5860C" w14:textId="5E6C3AD6" w:rsidR="00425A44" w:rsidRDefault="00B16E88">
            <w:r>
              <w:t>21</w:t>
            </w:r>
          </w:p>
        </w:tc>
        <w:tc>
          <w:tcPr>
            <w:tcW w:w="4385" w:type="dxa"/>
          </w:tcPr>
          <w:p w14:paraId="7F245E05" w14:textId="77777777" w:rsidR="00425A44" w:rsidRDefault="00354A94">
            <w:r w:rsidRPr="00354A94">
              <w:t xml:space="preserve">Clause 18.5 places a restriction on the Contractor’s recruitment processes that cannot be practically implemented. The Contractor employs an equal opportunities policy which will not necessarily positively </w:t>
            </w:r>
            <w:r w:rsidRPr="00354A94">
              <w:lastRenderedPageBreak/>
              <w:t>discriminate. Selection of under-representative groups could lead to fractional recruitment requirements that cannot be implemented. Could the Trust clarify that this clause will not affect the Contractor’s recruitment processes.</w:t>
            </w:r>
          </w:p>
          <w:p w14:paraId="422443F0" w14:textId="6F4AE573" w:rsidR="003E28F2" w:rsidRPr="00A34A5F" w:rsidRDefault="003E28F2"/>
        </w:tc>
        <w:tc>
          <w:tcPr>
            <w:tcW w:w="4170" w:type="dxa"/>
          </w:tcPr>
          <w:p w14:paraId="044F3644" w14:textId="0D33DBBF" w:rsidR="00425A44" w:rsidRDefault="00516EEB">
            <w:r>
              <w:lastRenderedPageBreak/>
              <w:t xml:space="preserve">The clause will not </w:t>
            </w:r>
            <w:r w:rsidR="00B2293B">
              <w:t xml:space="preserve">unduly </w:t>
            </w:r>
            <w:r w:rsidR="0069665B">
              <w:t>affect the contractor’s recruitment processes</w:t>
            </w:r>
            <w:r w:rsidR="00B2293B">
              <w:t>.</w:t>
            </w:r>
          </w:p>
        </w:tc>
      </w:tr>
      <w:tr w:rsidR="00425A44" w14:paraId="21F7451A" w14:textId="77777777" w:rsidTr="00AE2CCB">
        <w:tc>
          <w:tcPr>
            <w:tcW w:w="461" w:type="dxa"/>
          </w:tcPr>
          <w:p w14:paraId="0103BC9A" w14:textId="7C7D9639" w:rsidR="00425A44" w:rsidRDefault="00ED540A">
            <w:r>
              <w:t>22</w:t>
            </w:r>
          </w:p>
        </w:tc>
        <w:tc>
          <w:tcPr>
            <w:tcW w:w="4385" w:type="dxa"/>
          </w:tcPr>
          <w:p w14:paraId="48B99CFA" w14:textId="77777777" w:rsidR="00425A44" w:rsidRDefault="00A63A7B">
            <w:r w:rsidRPr="00A63A7B">
              <w:t>Would the Contractor be expected to conduct due diligence on subcontractors imposed on the Contractor under clause 8.2? If a selected subcontractor fails due diligence, would the Contractor be required to subcontract them in any event?</w:t>
            </w:r>
          </w:p>
          <w:p w14:paraId="07670257" w14:textId="74BE89E0" w:rsidR="003E28F2" w:rsidRPr="00A34A5F" w:rsidRDefault="003E28F2"/>
        </w:tc>
        <w:tc>
          <w:tcPr>
            <w:tcW w:w="4170" w:type="dxa"/>
          </w:tcPr>
          <w:p w14:paraId="7B60EB50" w14:textId="3BD2D0F0" w:rsidR="00425A44" w:rsidRDefault="002F18E5">
            <w:r>
              <w:t xml:space="preserve">If the Trust </w:t>
            </w:r>
            <w:r w:rsidR="00FB263A">
              <w:t xml:space="preserve">requires that </w:t>
            </w:r>
            <w:r w:rsidR="00D475A9">
              <w:t xml:space="preserve">a contractor must work with a </w:t>
            </w:r>
            <w:r w:rsidR="00BB7AA0">
              <w:t xml:space="preserve">specific </w:t>
            </w:r>
            <w:r w:rsidR="00BD55FD">
              <w:t>sub-contractor</w:t>
            </w:r>
            <w:r w:rsidR="00902645">
              <w:t>, then the contractor will not be expected to conduct due diligence.</w:t>
            </w:r>
            <w:r w:rsidR="00E37C8C">
              <w:t xml:space="preserve"> If a</w:t>
            </w:r>
            <w:r w:rsidR="00C2364F">
              <w:t xml:space="preserve"> </w:t>
            </w:r>
            <w:r w:rsidR="00015B97">
              <w:t>specific sub</w:t>
            </w:r>
            <w:r w:rsidR="00E37C8C">
              <w:t>-contractor</w:t>
            </w:r>
            <w:r w:rsidR="00C2364F">
              <w:t xml:space="preserve"> is part of a</w:t>
            </w:r>
            <w:r w:rsidR="00BD55FD">
              <w:t xml:space="preserve"> </w:t>
            </w:r>
            <w:r w:rsidR="00C2364F">
              <w:t xml:space="preserve">contractor’s </w:t>
            </w:r>
            <w:r w:rsidR="00AF7056">
              <w:t>proposal, they are subject to the same requirements</w:t>
            </w:r>
            <w:r w:rsidR="00DB59BE">
              <w:t xml:space="preserve"> and standards as the contractor where relevant and approp</w:t>
            </w:r>
            <w:r w:rsidR="00015B97">
              <w:t>riate,</w:t>
            </w:r>
            <w:r w:rsidR="009B0F67">
              <w:t xml:space="preserve"> and their details included in</w:t>
            </w:r>
            <w:r w:rsidR="00DC5248">
              <w:t xml:space="preserve"> Part 2B of the PSQ.</w:t>
            </w:r>
          </w:p>
          <w:p w14:paraId="15D18566" w14:textId="2C1C21FB" w:rsidR="00015B97" w:rsidRDefault="00015B97"/>
        </w:tc>
      </w:tr>
      <w:tr w:rsidR="00425A44" w14:paraId="26BDADB8" w14:textId="77777777" w:rsidTr="00AE2CCB">
        <w:tc>
          <w:tcPr>
            <w:tcW w:w="461" w:type="dxa"/>
          </w:tcPr>
          <w:p w14:paraId="2622CAA1" w14:textId="5C8A3380" w:rsidR="00425A44" w:rsidRDefault="00573A60">
            <w:r>
              <w:t>23</w:t>
            </w:r>
          </w:p>
        </w:tc>
        <w:tc>
          <w:tcPr>
            <w:tcW w:w="4385" w:type="dxa"/>
          </w:tcPr>
          <w:p w14:paraId="08871AE7" w14:textId="77777777" w:rsidR="00425A44" w:rsidRDefault="00BF02C3">
            <w:r w:rsidRPr="00BF02C3">
              <w:t>Is there a requirement for bidders to demonstrate prior research and/or evaluation experience specifically with the armed forces community? Alternatively, would broader research and evaluation experience with other populations experiencing stigma, trauma or vulnerability (for example, young people in conflict-affected settings, marginalised youth, or LGBTQ+ communities) be considered sufficient where relevance and transferability are clearly evidenced?</w:t>
            </w:r>
          </w:p>
          <w:p w14:paraId="1FC44BF5" w14:textId="37CD67BD" w:rsidR="00B73F93" w:rsidRPr="00A34A5F" w:rsidRDefault="00B73F93"/>
        </w:tc>
        <w:tc>
          <w:tcPr>
            <w:tcW w:w="4170" w:type="dxa"/>
          </w:tcPr>
          <w:p w14:paraId="0A36C712" w14:textId="368D0931" w:rsidR="00425A44" w:rsidRDefault="0088227A">
            <w:r>
              <w:t xml:space="preserve">The Trust is seeking </w:t>
            </w:r>
            <w:r w:rsidR="00745571">
              <w:t xml:space="preserve">bidders with a </w:t>
            </w:r>
            <w:r w:rsidR="000E1D96">
              <w:t xml:space="preserve">wide </w:t>
            </w:r>
            <w:r w:rsidR="00745571">
              <w:t xml:space="preserve">range of </w:t>
            </w:r>
            <w:r w:rsidR="000E1D96">
              <w:t xml:space="preserve">relevant </w:t>
            </w:r>
            <w:r w:rsidR="00745571">
              <w:t xml:space="preserve">skills and </w:t>
            </w:r>
            <w:r w:rsidR="00884E84">
              <w:t>experience</w:t>
            </w:r>
            <w:r w:rsidR="006E50E6">
              <w:t xml:space="preserve"> for </w:t>
            </w:r>
            <w:r w:rsidR="00F22428">
              <w:t xml:space="preserve">inclusion in </w:t>
            </w:r>
            <w:r w:rsidR="006E50E6">
              <w:t>this Framework</w:t>
            </w:r>
            <w:r w:rsidR="004F142C">
              <w:t xml:space="preserve"> - </w:t>
            </w:r>
            <w:r w:rsidR="00015F7E">
              <w:t>there is no requirement</w:t>
            </w:r>
            <w:r w:rsidR="00471210">
              <w:t xml:space="preserve"> </w:t>
            </w:r>
            <w:r w:rsidR="004F142C">
              <w:t>for experience</w:t>
            </w:r>
            <w:r w:rsidR="007462C1">
              <w:t xml:space="preserve"> working with the armed forces community</w:t>
            </w:r>
            <w:r w:rsidR="00766387">
              <w:t>, and expertise</w:t>
            </w:r>
            <w:r w:rsidR="00DF7299">
              <w:t xml:space="preserve"> with other populations and communities would be welcomed</w:t>
            </w:r>
            <w:r w:rsidR="00507970">
              <w:t>.</w:t>
            </w:r>
          </w:p>
          <w:p w14:paraId="273DFD8F" w14:textId="77777777" w:rsidR="00507970" w:rsidRDefault="00507970"/>
          <w:p w14:paraId="6B6351A1" w14:textId="77777777" w:rsidR="00507970" w:rsidRDefault="006E50E6">
            <w:r>
              <w:t xml:space="preserve">There may </w:t>
            </w:r>
            <w:r w:rsidR="00F22428">
              <w:t xml:space="preserve">be circumstances where </w:t>
            </w:r>
            <w:r w:rsidR="00B662B0">
              <w:t>specific experience or expertise</w:t>
            </w:r>
            <w:r w:rsidR="002B3B0B">
              <w:t xml:space="preserve"> with the armed force community is essential or desirable for the successful delivery of a call-off </w:t>
            </w:r>
            <w:r w:rsidR="00095580">
              <w:t xml:space="preserve">project </w:t>
            </w:r>
            <w:proofErr w:type="gramStart"/>
            <w:r w:rsidR="00095580">
              <w:t>at a later date</w:t>
            </w:r>
            <w:proofErr w:type="gramEnd"/>
            <w:r w:rsidR="00095580">
              <w:t>, but this would be s</w:t>
            </w:r>
            <w:r w:rsidR="00E37CDC">
              <w:t>tated in the specific call-off ITT.</w:t>
            </w:r>
          </w:p>
          <w:p w14:paraId="48A2C072" w14:textId="5A03D898" w:rsidR="00E37CDC" w:rsidRDefault="00E37CDC"/>
        </w:tc>
      </w:tr>
      <w:tr w:rsidR="00425A44" w14:paraId="6D1872F3" w14:textId="77777777" w:rsidTr="00AE2CCB">
        <w:tc>
          <w:tcPr>
            <w:tcW w:w="461" w:type="dxa"/>
          </w:tcPr>
          <w:p w14:paraId="55BE34F9" w14:textId="5F679005" w:rsidR="00425A44" w:rsidRDefault="00BF02C3">
            <w:r>
              <w:t>24</w:t>
            </w:r>
          </w:p>
        </w:tc>
        <w:tc>
          <w:tcPr>
            <w:tcW w:w="4385" w:type="dxa"/>
          </w:tcPr>
          <w:p w14:paraId="2350EA50" w14:textId="77777777" w:rsidR="00BF02C3" w:rsidRPr="00BF02C3" w:rsidRDefault="00BF02C3" w:rsidP="00BF02C3">
            <w:r w:rsidRPr="00BF02C3">
              <w:t>Can the Technical Submission include graphic design elements such as diagrams, figures, images, or a designed cover page, provided the document remains within the 12-page limit and complies with the formatting requirements (e.g. Arial font, size 11)?</w:t>
            </w:r>
          </w:p>
          <w:p w14:paraId="7D031915" w14:textId="77777777" w:rsidR="00425A44" w:rsidRPr="00A34A5F" w:rsidRDefault="00425A44"/>
        </w:tc>
        <w:tc>
          <w:tcPr>
            <w:tcW w:w="4170" w:type="dxa"/>
          </w:tcPr>
          <w:p w14:paraId="7AE638A8" w14:textId="1C43FA38" w:rsidR="00425A44" w:rsidRDefault="00627E3A">
            <w:r>
              <w:t>Yes, graphic design elements</w:t>
            </w:r>
            <w:r w:rsidR="00D3544E">
              <w:t xml:space="preserve"> can be included</w:t>
            </w:r>
            <w:r w:rsidR="00B46C5E">
              <w:t xml:space="preserve"> in the Technical submission.</w:t>
            </w:r>
          </w:p>
        </w:tc>
      </w:tr>
      <w:tr w:rsidR="00425A44" w14:paraId="14B9ACBE" w14:textId="77777777" w:rsidTr="00AE2CCB">
        <w:tc>
          <w:tcPr>
            <w:tcW w:w="461" w:type="dxa"/>
          </w:tcPr>
          <w:p w14:paraId="5DFEC019" w14:textId="431050D2" w:rsidR="00425A44" w:rsidRDefault="00BF02C3">
            <w:r>
              <w:t>25</w:t>
            </w:r>
          </w:p>
        </w:tc>
        <w:tc>
          <w:tcPr>
            <w:tcW w:w="4385" w:type="dxa"/>
          </w:tcPr>
          <w:p w14:paraId="4B3976A6" w14:textId="77777777" w:rsidR="00B73F93" w:rsidRPr="00B73F93" w:rsidRDefault="00B73F93" w:rsidP="00B73F93">
            <w:r w:rsidRPr="00B73F93">
              <w:t>Will the Trust provide separate, editable templates for the Procurement Specific Questionnaire (Appendix C), Form of Tender (Appendix E) and Commercially Sensitive Information (Appendix F)? If not, should bidders replicate these forms directly from the ITT document and submit them as completed documents?</w:t>
            </w:r>
          </w:p>
          <w:p w14:paraId="111C679C" w14:textId="77777777" w:rsidR="00425A44" w:rsidRPr="00A34A5F" w:rsidRDefault="00425A44"/>
        </w:tc>
        <w:tc>
          <w:tcPr>
            <w:tcW w:w="4170" w:type="dxa"/>
          </w:tcPr>
          <w:p w14:paraId="09BF8E10" w14:textId="0CD923B5" w:rsidR="00425A44" w:rsidRDefault="000A0BA0">
            <w:r>
              <w:t>Bidders should replicate or copy the templates</w:t>
            </w:r>
            <w:r w:rsidR="001F498A">
              <w:t xml:space="preserve"> in the ITT</w:t>
            </w:r>
            <w:r w:rsidR="00412865">
              <w:t xml:space="preserve"> and </w:t>
            </w:r>
            <w:r w:rsidR="00313CD0">
              <w:t xml:space="preserve">submit them as complete documents. A Word version of the ITT has been </w:t>
            </w:r>
            <w:r w:rsidR="001E4F78">
              <w:t>provided</w:t>
            </w:r>
            <w:r w:rsidR="00313CD0">
              <w:t xml:space="preserve"> to </w:t>
            </w:r>
            <w:r w:rsidR="001E4F78">
              <w:t>aid this.</w:t>
            </w:r>
          </w:p>
        </w:tc>
      </w:tr>
      <w:tr w:rsidR="00BB18D7" w14:paraId="0ACF331A" w14:textId="77777777" w:rsidTr="00AE2CCB">
        <w:tc>
          <w:tcPr>
            <w:tcW w:w="461" w:type="dxa"/>
          </w:tcPr>
          <w:p w14:paraId="4C428C48" w14:textId="5A3E2CD7" w:rsidR="00BB18D7" w:rsidRDefault="00B73F93">
            <w:r>
              <w:t>26</w:t>
            </w:r>
          </w:p>
        </w:tc>
        <w:tc>
          <w:tcPr>
            <w:tcW w:w="4385" w:type="dxa"/>
          </w:tcPr>
          <w:p w14:paraId="0F920756" w14:textId="77777777" w:rsidR="00A1505B" w:rsidRPr="00A1505B" w:rsidRDefault="00A1505B" w:rsidP="00A1505B">
            <w:r w:rsidRPr="00A1505B">
              <w:t xml:space="preserve">Where specialist subcontractors are not known at the Framework bidding stage, can these be proposed at Call-Off stage, </w:t>
            </w:r>
            <w:r w:rsidRPr="00A1505B">
              <w:lastRenderedPageBreak/>
              <w:t>subject to Trust approval and the relevant Conditions of Participation and debarment checks?</w:t>
            </w:r>
          </w:p>
          <w:p w14:paraId="300C932E" w14:textId="77777777" w:rsidR="00BB18D7" w:rsidRPr="00A34A5F" w:rsidRDefault="00BB18D7"/>
        </w:tc>
        <w:tc>
          <w:tcPr>
            <w:tcW w:w="4170" w:type="dxa"/>
          </w:tcPr>
          <w:p w14:paraId="6D770A33" w14:textId="223A9EFA" w:rsidR="00BB18D7" w:rsidRDefault="00977115">
            <w:r>
              <w:lastRenderedPageBreak/>
              <w:t xml:space="preserve">Yes, </w:t>
            </w:r>
            <w:r w:rsidR="00BB0287">
              <w:t>this is more relevant for the call-off stage</w:t>
            </w:r>
            <w:r w:rsidR="00852982">
              <w:t>.</w:t>
            </w:r>
          </w:p>
        </w:tc>
      </w:tr>
      <w:tr w:rsidR="00BB18D7" w14:paraId="50922FE4" w14:textId="77777777" w:rsidTr="00AE2CCB">
        <w:tc>
          <w:tcPr>
            <w:tcW w:w="461" w:type="dxa"/>
          </w:tcPr>
          <w:p w14:paraId="49E82790" w14:textId="51F1706B" w:rsidR="00BB18D7" w:rsidRDefault="00A1505B">
            <w:r>
              <w:t>27</w:t>
            </w:r>
          </w:p>
        </w:tc>
        <w:tc>
          <w:tcPr>
            <w:tcW w:w="4385" w:type="dxa"/>
          </w:tcPr>
          <w:p w14:paraId="5C0900FA" w14:textId="77777777" w:rsidR="00A1505B" w:rsidRPr="00A1505B" w:rsidRDefault="00A1505B" w:rsidP="00A1505B">
            <w:r w:rsidRPr="00A1505B">
              <w:t>In assessing Technical Question 1, can the Trust confirm whether experience with comparable vulnerable or trauma-affected populations outside the armed forces community will be scored similarly, where the relevance to the Trust’s requirements and armed forces context is clearly demonstrated?</w:t>
            </w:r>
          </w:p>
          <w:p w14:paraId="6A42A536" w14:textId="77777777" w:rsidR="00BB18D7" w:rsidRPr="00A34A5F" w:rsidRDefault="00BB18D7"/>
        </w:tc>
        <w:tc>
          <w:tcPr>
            <w:tcW w:w="4170" w:type="dxa"/>
          </w:tcPr>
          <w:p w14:paraId="19C90A05" w14:textId="7AB53FB7" w:rsidR="00BB18D7" w:rsidRDefault="006A69FD">
            <w:r>
              <w:t xml:space="preserve">Yes, experience with </w:t>
            </w:r>
            <w:r w:rsidR="00423711">
              <w:t xml:space="preserve">comparable populations </w:t>
            </w:r>
            <w:r w:rsidR="003B3A88">
              <w:t>will be scored similarly</w:t>
            </w:r>
            <w:r w:rsidR="00875799">
              <w:t>.</w:t>
            </w:r>
            <w:r w:rsidR="00F70387">
              <w:t xml:space="preserve"> Considerations about working with the armed forces community</w:t>
            </w:r>
            <w:r w:rsidR="00DD402D">
              <w:t xml:space="preserve"> should be factored into Technical question 5</w:t>
            </w:r>
            <w:r w:rsidR="0011535A">
              <w:t>.</w:t>
            </w:r>
          </w:p>
        </w:tc>
      </w:tr>
      <w:tr w:rsidR="00BB18D7" w14:paraId="361385EC" w14:textId="77777777" w:rsidTr="00AE2CCB">
        <w:tc>
          <w:tcPr>
            <w:tcW w:w="461" w:type="dxa"/>
          </w:tcPr>
          <w:p w14:paraId="13442203" w14:textId="62A96C15" w:rsidR="00BB18D7" w:rsidRDefault="007033E5">
            <w:r>
              <w:t>28</w:t>
            </w:r>
          </w:p>
        </w:tc>
        <w:tc>
          <w:tcPr>
            <w:tcW w:w="4385" w:type="dxa"/>
          </w:tcPr>
          <w:p w14:paraId="4751C49A" w14:textId="77777777" w:rsidR="00BB18D7" w:rsidRDefault="007033E5">
            <w:r w:rsidRPr="007033E5">
              <w:t>When assessing bidders’ capacity to manage peaks in demand across multiple Call-Offs, will evaluators place greater weight on named in-house staff capacity, or will access to established associate or partner networks be considered equally, where governance and continuity arrangements are clearly described?</w:t>
            </w:r>
          </w:p>
          <w:p w14:paraId="37D97AF2" w14:textId="3D6DAB6F" w:rsidR="007033E5" w:rsidRPr="00A34A5F" w:rsidRDefault="007033E5"/>
        </w:tc>
        <w:tc>
          <w:tcPr>
            <w:tcW w:w="4170" w:type="dxa"/>
          </w:tcPr>
          <w:p w14:paraId="2D4E760C" w14:textId="4C992D43" w:rsidR="00BB18D7" w:rsidRDefault="001B5306">
            <w:r>
              <w:t xml:space="preserve">Access </w:t>
            </w:r>
            <w:r w:rsidR="002018EF" w:rsidRPr="002018EF">
              <w:t>to established associate or partner networks be considered equally</w:t>
            </w:r>
            <w:r w:rsidR="00564A6A">
              <w:t xml:space="preserve"> as the Trust does not want to unfairly exclude</w:t>
            </w:r>
            <w:r w:rsidR="000F4A4B">
              <w:t xml:space="preserve"> capable smaller teams or organisations</w:t>
            </w:r>
            <w:r w:rsidR="00581ED0">
              <w:t>.</w:t>
            </w:r>
          </w:p>
        </w:tc>
      </w:tr>
      <w:tr w:rsidR="00BB18D7" w14:paraId="523E4BD2" w14:textId="77777777" w:rsidTr="00AE2CCB">
        <w:tc>
          <w:tcPr>
            <w:tcW w:w="461" w:type="dxa"/>
          </w:tcPr>
          <w:p w14:paraId="20C71AD3" w14:textId="45B53772" w:rsidR="00BB18D7" w:rsidRDefault="007033E5">
            <w:r>
              <w:t>29</w:t>
            </w:r>
          </w:p>
        </w:tc>
        <w:tc>
          <w:tcPr>
            <w:tcW w:w="4385" w:type="dxa"/>
          </w:tcPr>
          <w:p w14:paraId="7564A4FF" w14:textId="77777777" w:rsidR="00BB18D7" w:rsidRDefault="007033E5">
            <w:r w:rsidRPr="007033E5">
              <w:t>The ITT refers to Conditions of Participation, including in Part 3 of the PSQ; however, it is not entirely clear where these are comprehensively listed. Could the Trust please confirm where the full set of Conditions of Participation can be found, or provide further clarification?</w:t>
            </w:r>
          </w:p>
          <w:p w14:paraId="115CCF12" w14:textId="793EE7D9" w:rsidR="007033E5" w:rsidRPr="00A34A5F" w:rsidRDefault="007033E5"/>
        </w:tc>
        <w:tc>
          <w:tcPr>
            <w:tcW w:w="4170" w:type="dxa"/>
          </w:tcPr>
          <w:p w14:paraId="70DDA6C1" w14:textId="77777777" w:rsidR="00BB18D7" w:rsidRDefault="00A70D36">
            <w:r w:rsidRPr="00A70D36">
              <w:t>Conditions of Participation</w:t>
            </w:r>
            <w:r w:rsidR="00C35C32">
              <w:t xml:space="preserve"> relate</w:t>
            </w:r>
            <w:r w:rsidR="005939F8">
              <w:t xml:space="preserve"> to satisfying the requirements </w:t>
            </w:r>
            <w:r w:rsidR="00B72360">
              <w:t>specified throughout the ITT</w:t>
            </w:r>
            <w:r w:rsidR="004877E0">
              <w:t>. Specifically for Part 3 of the PSQ</w:t>
            </w:r>
            <w:r w:rsidR="00B26507">
              <w:t>, this includes the de</w:t>
            </w:r>
            <w:r w:rsidR="003205A1">
              <w:t>claration</w:t>
            </w:r>
            <w:r w:rsidR="00E37E2A">
              <w:t xml:space="preserve"> in Q13</w:t>
            </w:r>
            <w:r w:rsidR="0037651E">
              <w:t xml:space="preserve"> and Q18</w:t>
            </w:r>
            <w:r w:rsidR="00B2170B">
              <w:t xml:space="preserve">, referencing </w:t>
            </w:r>
            <w:r w:rsidR="007D33B7">
              <w:t xml:space="preserve">the technical </w:t>
            </w:r>
            <w:r w:rsidR="00772B29">
              <w:t>questions to be assessed.</w:t>
            </w:r>
            <w:r w:rsidR="006F6D3D">
              <w:t xml:space="preserve"> Part 3, Q20 mentions</w:t>
            </w:r>
            <w:r w:rsidR="00516168">
              <w:t xml:space="preserve"> where/if organisational qualifications having been </w:t>
            </w:r>
            <w:r w:rsidR="007146A9">
              <w:t>specified, however there are no requirements for this</w:t>
            </w:r>
            <w:r w:rsidR="00EA1EFA">
              <w:t>.</w:t>
            </w:r>
          </w:p>
          <w:p w14:paraId="3080A4C8" w14:textId="18B9F8AD" w:rsidR="00EA1EFA" w:rsidRDefault="00EA1EFA"/>
        </w:tc>
      </w:tr>
      <w:tr w:rsidR="00BB18D7" w14:paraId="20379605" w14:textId="77777777" w:rsidTr="00AE2CCB">
        <w:tc>
          <w:tcPr>
            <w:tcW w:w="461" w:type="dxa"/>
          </w:tcPr>
          <w:p w14:paraId="3AEF95D9" w14:textId="6AA55A21" w:rsidR="00BB18D7" w:rsidRDefault="007033E5">
            <w:r>
              <w:t>30</w:t>
            </w:r>
          </w:p>
        </w:tc>
        <w:tc>
          <w:tcPr>
            <w:tcW w:w="4385" w:type="dxa"/>
          </w:tcPr>
          <w:p w14:paraId="6BA94B93" w14:textId="77777777" w:rsidR="00BB18D7" w:rsidRDefault="00803BD1">
            <w:r w:rsidRPr="00803BD1">
              <w:t>The ITT states that tenders submitted by potential consortia must include a Letter of Intent to form a consortium. Does this requirement apply to individual consultants engaged for specific specialist tasks (for example, economic or cost-effectiveness analysis), or only to larger organisational partners or consortium members relied upon to meet Conditions of Participation?</w:t>
            </w:r>
          </w:p>
          <w:p w14:paraId="14548884" w14:textId="7A38BE5D" w:rsidR="00803BD1" w:rsidRPr="00A34A5F" w:rsidRDefault="00803BD1"/>
        </w:tc>
        <w:tc>
          <w:tcPr>
            <w:tcW w:w="4170" w:type="dxa"/>
          </w:tcPr>
          <w:p w14:paraId="0A05EBE6" w14:textId="242CD12D" w:rsidR="00BB18D7" w:rsidRDefault="0027410C">
            <w:r>
              <w:t>Letters of intent for consortium</w:t>
            </w:r>
            <w:r w:rsidR="002E4E2F">
              <w:t xml:space="preserve"> will only be appli</w:t>
            </w:r>
            <w:r w:rsidR="004C1D64">
              <w:t>cable where bidders</w:t>
            </w:r>
            <w:r w:rsidR="005222FD">
              <w:t xml:space="preserve"> propose this arrangement in response to a specific call-off ITT.</w:t>
            </w:r>
          </w:p>
        </w:tc>
      </w:tr>
      <w:tr w:rsidR="00BB18D7" w14:paraId="6FBBD244" w14:textId="77777777" w:rsidTr="00AE2CCB">
        <w:tc>
          <w:tcPr>
            <w:tcW w:w="461" w:type="dxa"/>
          </w:tcPr>
          <w:p w14:paraId="0F8311E4" w14:textId="4FEC5680" w:rsidR="00BB18D7" w:rsidRDefault="00A4115D">
            <w:r>
              <w:t>31</w:t>
            </w:r>
          </w:p>
        </w:tc>
        <w:tc>
          <w:tcPr>
            <w:tcW w:w="4385" w:type="dxa"/>
          </w:tcPr>
          <w:p w14:paraId="65DBEA34" w14:textId="77777777" w:rsidR="00803BD1" w:rsidRPr="00803BD1" w:rsidRDefault="00803BD1" w:rsidP="00803BD1">
            <w:r w:rsidRPr="00803BD1">
              <w:t>Is there any guidance on document margin sizes for the Technical Submission, beyond the specified font type and size?</w:t>
            </w:r>
          </w:p>
          <w:p w14:paraId="325203AA" w14:textId="77777777" w:rsidR="00BB18D7" w:rsidRPr="00A34A5F" w:rsidRDefault="00BB18D7"/>
        </w:tc>
        <w:tc>
          <w:tcPr>
            <w:tcW w:w="4170" w:type="dxa"/>
          </w:tcPr>
          <w:p w14:paraId="0F634E34" w14:textId="353AE823" w:rsidR="00BB18D7" w:rsidRDefault="005222FD">
            <w:r>
              <w:t>No</w:t>
            </w:r>
            <w:r w:rsidR="006C37D5">
              <w:t>.</w:t>
            </w:r>
          </w:p>
        </w:tc>
      </w:tr>
      <w:tr w:rsidR="00BB18D7" w14:paraId="18D3C70B" w14:textId="77777777" w:rsidTr="00AE2CCB">
        <w:tc>
          <w:tcPr>
            <w:tcW w:w="461" w:type="dxa"/>
          </w:tcPr>
          <w:p w14:paraId="137E6F72" w14:textId="08350C76" w:rsidR="00BB18D7" w:rsidRDefault="00CB0591">
            <w:r>
              <w:t>32</w:t>
            </w:r>
          </w:p>
        </w:tc>
        <w:tc>
          <w:tcPr>
            <w:tcW w:w="4385" w:type="dxa"/>
          </w:tcPr>
          <w:p w14:paraId="3EE793E2" w14:textId="77777777" w:rsidR="00BB18D7" w:rsidRDefault="00CB0591">
            <w:r w:rsidRPr="00CB0591">
              <w:t xml:space="preserve">In the ITT, Section 4 – Content, the second row of the table states: “Technical Submission: You must respond to all Technical criteria (including social value) specified in Section 10 (The assessment process and award criteria)”. However, Section 10 does not explain how social </w:t>
            </w:r>
            <w:r w:rsidRPr="00CB0591">
              <w:lastRenderedPageBreak/>
              <w:t>value should be addressed – whether it should be a separate section (and, if so, what its weighting would be) or whether it should be incorporated within another part of the technical submission. If it is a separate section, should it be included within the overall page limit of up to 12 pages?</w:t>
            </w:r>
          </w:p>
          <w:p w14:paraId="74861BE3" w14:textId="4AC47F5D" w:rsidR="00C842D1" w:rsidRPr="00A34A5F" w:rsidRDefault="00C842D1"/>
        </w:tc>
        <w:tc>
          <w:tcPr>
            <w:tcW w:w="4170" w:type="dxa"/>
          </w:tcPr>
          <w:p w14:paraId="57E8CB80" w14:textId="69413F83" w:rsidR="00BB18D7" w:rsidRDefault="00333E1C">
            <w:r w:rsidRPr="00333E1C">
              <w:lastRenderedPageBreak/>
              <w:t xml:space="preserve">The reference to social value in the check list in Section 8 (4.1) has been removed for clarity. Social Value and Sustainability as referenced in the Service Specification (Appendix B) is to be addressed as appropriate in the </w:t>
            </w:r>
            <w:r w:rsidRPr="00333E1C">
              <w:lastRenderedPageBreak/>
              <w:t>Technical questions (for example, T1 and/or T5, if relevant).</w:t>
            </w:r>
          </w:p>
        </w:tc>
      </w:tr>
      <w:tr w:rsidR="00BB18D7" w14:paraId="3E4AB040" w14:textId="77777777" w:rsidTr="00AE2CCB">
        <w:tc>
          <w:tcPr>
            <w:tcW w:w="461" w:type="dxa"/>
          </w:tcPr>
          <w:p w14:paraId="0F87A6CC" w14:textId="039D58C9" w:rsidR="00BB18D7" w:rsidRDefault="009806BD">
            <w:r>
              <w:lastRenderedPageBreak/>
              <w:t>33</w:t>
            </w:r>
          </w:p>
        </w:tc>
        <w:tc>
          <w:tcPr>
            <w:tcW w:w="4385" w:type="dxa"/>
          </w:tcPr>
          <w:p w14:paraId="4F1C4BA5" w14:textId="091C65A4" w:rsidR="00BB18D7" w:rsidRDefault="00E66389">
            <w:r w:rsidRPr="00E66389">
              <w:t>In a similar vein to the query on the day rate card, could I ask the same about the listing on sub-contractors.</w:t>
            </w:r>
            <w:r>
              <w:t xml:space="preserve"> </w:t>
            </w:r>
            <w:r w:rsidR="009806BD" w:rsidRPr="009806BD">
              <w:t>Would it be okay to put ‘No’ to these questions on the basis that on subsequent call-offs we’ll be able to give sub-contractor details for specific projects?</w:t>
            </w:r>
          </w:p>
          <w:p w14:paraId="6216A39E" w14:textId="08E42115" w:rsidR="009806BD" w:rsidRPr="00A34A5F" w:rsidRDefault="009806BD"/>
        </w:tc>
        <w:tc>
          <w:tcPr>
            <w:tcW w:w="4170" w:type="dxa"/>
          </w:tcPr>
          <w:p w14:paraId="198FD77E" w14:textId="03C54E93" w:rsidR="00BB18D7" w:rsidRDefault="00DB0F96">
            <w:r>
              <w:t>Yes, that’s correct</w:t>
            </w:r>
            <w:r w:rsidR="0099334A">
              <w:t xml:space="preserve">. Sub-contractors are only likely </w:t>
            </w:r>
            <w:r w:rsidR="00EA2573">
              <w:t>applicable during specific call-offs.</w:t>
            </w:r>
          </w:p>
        </w:tc>
      </w:tr>
      <w:tr w:rsidR="007B2E4E" w14:paraId="1A1D3975" w14:textId="77777777" w:rsidTr="00AE2CCB">
        <w:tc>
          <w:tcPr>
            <w:tcW w:w="461" w:type="dxa"/>
          </w:tcPr>
          <w:p w14:paraId="23E42384" w14:textId="5D426E14" w:rsidR="007B2E4E" w:rsidRDefault="007B2E4E">
            <w:r>
              <w:t>34</w:t>
            </w:r>
          </w:p>
        </w:tc>
        <w:tc>
          <w:tcPr>
            <w:tcW w:w="4385" w:type="dxa"/>
          </w:tcPr>
          <w:p w14:paraId="25619600" w14:textId="77777777" w:rsidR="005E565D" w:rsidRDefault="005E565D" w:rsidP="005E565D">
            <w:r>
              <w:t>The clarifications issued to date appear to provide conflicting guidance on page limits. Could the Trust please confirm whether:</w:t>
            </w:r>
          </w:p>
          <w:p w14:paraId="7746753B" w14:textId="72F1128D" w:rsidR="005E565D" w:rsidRDefault="005E565D" w:rsidP="005E565D">
            <w:r>
              <w:t>The 12-page limit applies only to responses to the five technical questions in the table at Section 5 (5.1) – covering T1 (Relevant experience and capabilities) through to T5 (Engagement, ethics and safeguarding).</w:t>
            </w:r>
          </w:p>
          <w:p w14:paraId="650C4F91" w14:textId="77777777" w:rsidR="005E565D" w:rsidRDefault="005E565D" w:rsidP="005E565D">
            <w:r>
              <w:t>or</w:t>
            </w:r>
          </w:p>
          <w:p w14:paraId="7AE4A49C" w14:textId="77777777" w:rsidR="007B2E4E" w:rsidRDefault="005E565D" w:rsidP="005E565D">
            <w:r>
              <w:t>The 12-page limit applies to the entire submission, including both the Technical and Commercial Envelopes.</w:t>
            </w:r>
          </w:p>
          <w:p w14:paraId="02333FFF" w14:textId="245566B0" w:rsidR="005E565D" w:rsidRPr="00E66389" w:rsidRDefault="005E565D" w:rsidP="005E565D"/>
        </w:tc>
        <w:tc>
          <w:tcPr>
            <w:tcW w:w="4170" w:type="dxa"/>
          </w:tcPr>
          <w:p w14:paraId="30827713" w14:textId="3C6AA668" w:rsidR="00F4340E" w:rsidRDefault="00F4340E" w:rsidP="00F4340E">
            <w:r>
              <w:t>The 12-page response limit refers to the allowance for answers to the 5 technical questions in the table on pages 16-17 of the ITT document. The commercial element can be submitted in addition to any page or attachment limits.</w:t>
            </w:r>
            <w:r w:rsidR="00520586">
              <w:t xml:space="preserve"> Earlier responses have been clarified</w:t>
            </w:r>
            <w:r w:rsidR="0092196E">
              <w:t>.</w:t>
            </w:r>
          </w:p>
          <w:p w14:paraId="032AC03B" w14:textId="77777777" w:rsidR="007B2E4E" w:rsidRDefault="007B2E4E"/>
        </w:tc>
      </w:tr>
      <w:tr w:rsidR="007B2E4E" w14:paraId="6FD70892" w14:textId="77777777" w:rsidTr="00AE2CCB">
        <w:tc>
          <w:tcPr>
            <w:tcW w:w="461" w:type="dxa"/>
          </w:tcPr>
          <w:p w14:paraId="6E31F372" w14:textId="3035315A" w:rsidR="007B2E4E" w:rsidRDefault="0092196E">
            <w:r>
              <w:t>35</w:t>
            </w:r>
          </w:p>
        </w:tc>
        <w:tc>
          <w:tcPr>
            <w:tcW w:w="4385" w:type="dxa"/>
          </w:tcPr>
          <w:p w14:paraId="100DCC77" w14:textId="77777777" w:rsidR="000A78D9" w:rsidRDefault="000A78D9" w:rsidP="000A78D9">
            <w:r>
              <w:t>The Trust has advised that Social Value and Sustainability should be addressed within the Technical questions (e.g. T1 and/or T5), rather than as a standalone section.</w:t>
            </w:r>
          </w:p>
          <w:p w14:paraId="7C69BA6F" w14:textId="77777777" w:rsidR="000A78D9" w:rsidRDefault="000A78D9" w:rsidP="000A78D9">
            <w:r>
              <w:t>Could the Trust please confirm whether it is acceptable to:</w:t>
            </w:r>
          </w:p>
          <w:p w14:paraId="7F221FEB" w14:textId="77777777" w:rsidR="000A78D9" w:rsidRDefault="000A78D9" w:rsidP="000A78D9">
            <w:r>
              <w:t>Include evidence of past Social Value delivery within T1 (Relevant experience and capabilities); and</w:t>
            </w:r>
          </w:p>
          <w:p w14:paraId="5B2F7447" w14:textId="77777777" w:rsidR="000A78D9" w:rsidRDefault="000A78D9" w:rsidP="000A78D9">
            <w:r>
              <w:t>Address proposed Social Value delivery during call-off contracts within T5 (Engagement, Ethics and Safeguarding).</w:t>
            </w:r>
          </w:p>
          <w:p w14:paraId="1AE2B909" w14:textId="77777777" w:rsidR="007B2E4E" w:rsidRDefault="000A78D9" w:rsidP="000A78D9">
            <w:r>
              <w:t>Please confirm whether this approach fully meets the Trust’s expectations for assessing Social Value.</w:t>
            </w:r>
          </w:p>
          <w:p w14:paraId="0D554C9B" w14:textId="468CB603" w:rsidR="00842B85" w:rsidRPr="00E66389" w:rsidRDefault="00842B85" w:rsidP="000A78D9"/>
        </w:tc>
        <w:tc>
          <w:tcPr>
            <w:tcW w:w="4170" w:type="dxa"/>
          </w:tcPr>
          <w:p w14:paraId="1C687ED9" w14:textId="44B01CD4" w:rsidR="007B2E4E" w:rsidRDefault="008C0888">
            <w:r>
              <w:t xml:space="preserve">This approach meets the </w:t>
            </w:r>
            <w:r w:rsidR="005F7CDB">
              <w:t xml:space="preserve">Trust’s </w:t>
            </w:r>
            <w:r>
              <w:t>expectations</w:t>
            </w:r>
            <w:r w:rsidR="005F7CDB">
              <w:t xml:space="preserve"> for assessing social value.</w:t>
            </w:r>
          </w:p>
        </w:tc>
      </w:tr>
      <w:tr w:rsidR="007B2E4E" w14:paraId="42E561A3" w14:textId="77777777" w:rsidTr="00AE2CCB">
        <w:tc>
          <w:tcPr>
            <w:tcW w:w="461" w:type="dxa"/>
          </w:tcPr>
          <w:p w14:paraId="2770BCA8" w14:textId="6E424254" w:rsidR="007B2E4E" w:rsidRDefault="005F7CDB">
            <w:r>
              <w:t>36</w:t>
            </w:r>
          </w:p>
        </w:tc>
        <w:tc>
          <w:tcPr>
            <w:tcW w:w="4385" w:type="dxa"/>
          </w:tcPr>
          <w:p w14:paraId="531711F9" w14:textId="77777777" w:rsidR="002A6D89" w:rsidRDefault="002A6D89" w:rsidP="002A6D89">
            <w:r>
              <w:t xml:space="preserve">The ITT requires submission of a rate card with example days and day rates, which will be used to calculate an average team cost for evaluation. However, it is unclear </w:t>
            </w:r>
            <w:r>
              <w:lastRenderedPageBreak/>
              <w:t>how these rates will be treated post-award.</w:t>
            </w:r>
          </w:p>
          <w:p w14:paraId="37196E26" w14:textId="77777777" w:rsidR="002A6D89" w:rsidRDefault="002A6D89" w:rsidP="002A6D89">
            <w:r>
              <w:t>Could the Trust please clarify whether:</w:t>
            </w:r>
          </w:p>
          <w:p w14:paraId="65A388D6" w14:textId="77777777" w:rsidR="002A6D89" w:rsidRDefault="002A6D89" w:rsidP="002A6D89">
            <w:r>
              <w:t>The day rates submitted are for evaluation purposes only; or</w:t>
            </w:r>
          </w:p>
          <w:p w14:paraId="7988F4D4" w14:textId="77777777" w:rsidR="007B2E4E" w:rsidRDefault="002A6D89" w:rsidP="002A6D89">
            <w:r>
              <w:t>The submitted day rates will be contractually binding and used under the framework and subsequent call-off contracts, including across the full four-year term.</w:t>
            </w:r>
          </w:p>
          <w:p w14:paraId="2B023700" w14:textId="4DC55C33" w:rsidR="00034469" w:rsidRPr="00E66389" w:rsidRDefault="00034469" w:rsidP="002A6D89"/>
        </w:tc>
        <w:tc>
          <w:tcPr>
            <w:tcW w:w="4170" w:type="dxa"/>
          </w:tcPr>
          <w:p w14:paraId="0F04B6CC" w14:textId="437E63E9" w:rsidR="007B2E4E" w:rsidRDefault="002A6D89">
            <w:r>
              <w:lastRenderedPageBreak/>
              <w:t>The day rates submitted</w:t>
            </w:r>
            <w:r w:rsidR="00583689">
              <w:t xml:space="preserve"> are </w:t>
            </w:r>
            <w:r w:rsidR="0020659B">
              <w:t>primarily for</w:t>
            </w:r>
            <w:r w:rsidR="00583689">
              <w:t xml:space="preserve"> evaluation purposes</w:t>
            </w:r>
            <w:r w:rsidR="00DF7CE0">
              <w:t xml:space="preserve"> and will not be contractually binding, although it would be expected that</w:t>
            </w:r>
            <w:r w:rsidR="00077E1A">
              <w:t xml:space="preserve"> any subsequent rates</w:t>
            </w:r>
            <w:r w:rsidR="00C32CB4">
              <w:t xml:space="preserve"> </w:t>
            </w:r>
            <w:r w:rsidR="001F7ABB">
              <w:t>provided by a successful</w:t>
            </w:r>
            <w:r w:rsidR="0020350B">
              <w:t xml:space="preserve"> bidder </w:t>
            </w:r>
            <w:r w:rsidR="00C32CB4">
              <w:t xml:space="preserve">would </w:t>
            </w:r>
            <w:r w:rsidR="00C32CB4">
              <w:lastRenderedPageBreak/>
              <w:t>broadly be in alignment</w:t>
            </w:r>
            <w:r w:rsidR="0020350B">
              <w:t xml:space="preserve"> with those </w:t>
            </w:r>
            <w:r w:rsidR="002F0CB8">
              <w:t>stated in this tender</w:t>
            </w:r>
            <w:r w:rsidR="0099572D">
              <w:t>, with reasonable adjustments</w:t>
            </w:r>
            <w:r w:rsidR="00034469">
              <w:t xml:space="preserve"> depending on the circumstances.</w:t>
            </w:r>
          </w:p>
        </w:tc>
      </w:tr>
      <w:tr w:rsidR="0020659B" w14:paraId="2A18F670" w14:textId="77777777" w:rsidTr="00AE2CCB">
        <w:tc>
          <w:tcPr>
            <w:tcW w:w="461" w:type="dxa"/>
          </w:tcPr>
          <w:p w14:paraId="74DF8686" w14:textId="1C058947" w:rsidR="0020659B" w:rsidRDefault="0020659B" w:rsidP="0020659B">
            <w:r>
              <w:lastRenderedPageBreak/>
              <w:t>37</w:t>
            </w:r>
          </w:p>
        </w:tc>
        <w:tc>
          <w:tcPr>
            <w:tcW w:w="4385" w:type="dxa"/>
          </w:tcPr>
          <w:p w14:paraId="3E38BA7E" w14:textId="161BFEC0" w:rsidR="0020659B" w:rsidRPr="00E66389" w:rsidRDefault="0020659B" w:rsidP="0020659B">
            <w:r w:rsidRPr="0020659B">
              <w:t>If the submitted day rates are contractually binding at framework award, can they be reviewed and refreshed annually after the first year of the framework, or will they remain fixed for the full four-year framework term?</w:t>
            </w:r>
          </w:p>
        </w:tc>
        <w:tc>
          <w:tcPr>
            <w:tcW w:w="4170" w:type="dxa"/>
          </w:tcPr>
          <w:p w14:paraId="5B6D78E6" w14:textId="28532076" w:rsidR="0020659B" w:rsidRDefault="0020659B" w:rsidP="0020659B">
            <w:r>
              <w:t>The day rates submitted are primarily for evaluation purposes and will not be contractually binding, although it would be expected that any subsequent rates provided by a successful bidder would broadly be in alignment with those stated in this tender, with reasonable adjustments depending on the circumstances.</w:t>
            </w:r>
            <w:r w:rsidR="00F75A78">
              <w:t xml:space="preserve"> Rates can be reviewed for each call-off</w:t>
            </w:r>
            <w:r w:rsidR="00A842E8">
              <w:t xml:space="preserve"> within the Framework.</w:t>
            </w:r>
          </w:p>
          <w:p w14:paraId="21573856" w14:textId="116649A7" w:rsidR="0020659B" w:rsidRDefault="0020659B" w:rsidP="0020659B"/>
        </w:tc>
      </w:tr>
      <w:tr w:rsidR="00A03CC1" w14:paraId="390BBFCF" w14:textId="77777777" w:rsidTr="00AE2CCB">
        <w:tc>
          <w:tcPr>
            <w:tcW w:w="461" w:type="dxa"/>
          </w:tcPr>
          <w:p w14:paraId="30E2C4DA" w14:textId="62AE2180" w:rsidR="00A03CC1" w:rsidRDefault="00666D18" w:rsidP="0020659B">
            <w:r>
              <w:t>38</w:t>
            </w:r>
          </w:p>
        </w:tc>
        <w:tc>
          <w:tcPr>
            <w:tcW w:w="4385" w:type="dxa"/>
          </w:tcPr>
          <w:p w14:paraId="3511E85B" w14:textId="77777777" w:rsidR="00A03CC1" w:rsidRDefault="00666D18" w:rsidP="0020659B">
            <w:r w:rsidRPr="00666D18">
              <w:t>You have proposed specific roles within the rate card. Please confirm whether there is flexibility to introduce additional roles at call-off stage, should project-specific requirements arise that are not covered by the existing rate card.</w:t>
            </w:r>
          </w:p>
          <w:p w14:paraId="06A6AA0D" w14:textId="3071B47F" w:rsidR="00D57FD3" w:rsidRPr="0020659B" w:rsidRDefault="00D57FD3" w:rsidP="0020659B"/>
        </w:tc>
        <w:tc>
          <w:tcPr>
            <w:tcW w:w="4170" w:type="dxa"/>
          </w:tcPr>
          <w:p w14:paraId="42D679CF" w14:textId="35EA9044" w:rsidR="00A03CC1" w:rsidRDefault="001E66CE" w:rsidP="0020659B">
            <w:r>
              <w:t>Yes</w:t>
            </w:r>
            <w:r w:rsidR="007B3A38">
              <w:t xml:space="preserve">, </w:t>
            </w:r>
            <w:r w:rsidR="00982CFF">
              <w:t xml:space="preserve">different/additional </w:t>
            </w:r>
            <w:r w:rsidR="007B3A38">
              <w:t xml:space="preserve">roles </w:t>
            </w:r>
            <w:r w:rsidR="00982CFF">
              <w:t xml:space="preserve">can be </w:t>
            </w:r>
            <w:r w:rsidR="00374E63">
              <w:t>proposed for subsequent call-offs</w:t>
            </w:r>
            <w:r w:rsidR="00EF2684">
              <w:t>.</w:t>
            </w:r>
          </w:p>
        </w:tc>
      </w:tr>
      <w:tr w:rsidR="00A03CC1" w14:paraId="6DE94B61" w14:textId="77777777" w:rsidTr="00AE2CCB">
        <w:tc>
          <w:tcPr>
            <w:tcW w:w="461" w:type="dxa"/>
          </w:tcPr>
          <w:p w14:paraId="12CA383A" w14:textId="1D29CA14" w:rsidR="00A03CC1" w:rsidRDefault="004F38A7" w:rsidP="0020659B">
            <w:r>
              <w:t>39</w:t>
            </w:r>
          </w:p>
        </w:tc>
        <w:tc>
          <w:tcPr>
            <w:tcW w:w="4385" w:type="dxa"/>
          </w:tcPr>
          <w:p w14:paraId="57598D33" w14:textId="77777777" w:rsidR="00A03CC1" w:rsidRDefault="004F38A7" w:rsidP="0020659B">
            <w:r w:rsidRPr="004F38A7">
              <w:t>The response to question 3 says “The 12-page response limit refers to the allowance for answers to the 5 technical questions in the table” whereas the response to question 14 is “The 12-page limit includes the Commercial envelope”. The Commercial section is not part of the 5 technical questions in the table. Therefore, could you please confirm if Appendix G – rate card – the Commercial section should be included in the 12-page limit.</w:t>
            </w:r>
          </w:p>
          <w:p w14:paraId="72DBBC3E" w14:textId="3E848676" w:rsidR="004F38A7" w:rsidRPr="0020659B" w:rsidRDefault="004F38A7" w:rsidP="0020659B"/>
        </w:tc>
        <w:tc>
          <w:tcPr>
            <w:tcW w:w="4170" w:type="dxa"/>
          </w:tcPr>
          <w:p w14:paraId="72D1990C" w14:textId="24AE8246" w:rsidR="00A03CC1" w:rsidRDefault="005A3262" w:rsidP="0020659B">
            <w:r>
              <w:t xml:space="preserve">The 12-page response limit refers to the allowance for answers to the 5 technical questions in the table on pages 16-17 of the ITT document. </w:t>
            </w:r>
            <w:r w:rsidR="00DB013D" w:rsidRPr="004F38A7">
              <w:t>Appendix G – rate card – the Commercial section</w:t>
            </w:r>
            <w:r w:rsidR="00DB013D">
              <w:t xml:space="preserve"> </w:t>
            </w:r>
            <w:r>
              <w:t>can be submitted in addition to any page or attachment limits. Earlier responses have been clarified.</w:t>
            </w:r>
          </w:p>
        </w:tc>
      </w:tr>
      <w:tr w:rsidR="00A03CC1" w14:paraId="03B79A23" w14:textId="77777777" w:rsidTr="00AE2CCB">
        <w:tc>
          <w:tcPr>
            <w:tcW w:w="461" w:type="dxa"/>
          </w:tcPr>
          <w:p w14:paraId="29FDC957" w14:textId="3E239F59" w:rsidR="00A03CC1" w:rsidRDefault="00CC6A17" w:rsidP="0020659B">
            <w:r>
              <w:t>40</w:t>
            </w:r>
          </w:p>
        </w:tc>
        <w:tc>
          <w:tcPr>
            <w:tcW w:w="4385" w:type="dxa"/>
          </w:tcPr>
          <w:p w14:paraId="0821E740" w14:textId="5BCCC927" w:rsidR="00A03CC1" w:rsidRPr="0020659B" w:rsidRDefault="00CE49C3" w:rsidP="00A05F3E">
            <w:r>
              <w:t>Ref the PSQ, c</w:t>
            </w:r>
            <w:r w:rsidR="00A05F3E">
              <w:t>an you please confirm there are no Financial Capacity Conditions of Participation for this tender exercise?</w:t>
            </w:r>
          </w:p>
        </w:tc>
        <w:tc>
          <w:tcPr>
            <w:tcW w:w="4170" w:type="dxa"/>
          </w:tcPr>
          <w:p w14:paraId="1BEDEEAA" w14:textId="4AE15ADC" w:rsidR="00A03CC1" w:rsidRDefault="00772A63" w:rsidP="0020659B">
            <w:r>
              <w:t>An updated document has been available for some time</w:t>
            </w:r>
            <w:r w:rsidR="00F96669">
              <w:t xml:space="preserve">. The financial capacity </w:t>
            </w:r>
            <w:r w:rsidR="00D4422F">
              <w:t>question</w:t>
            </w:r>
            <w:r w:rsidR="00657699">
              <w:t xml:space="preserve"> (13)</w:t>
            </w:r>
            <w:r w:rsidR="00D4422F">
              <w:t xml:space="preserve"> states: ‘</w:t>
            </w:r>
            <w:r w:rsidR="00D4422F" w:rsidRPr="00D4422F">
              <w:t>Has your organisation, its directors, or parent company been subject to insolvency, liquidation, bankruptcy, administration, or similar proceedings in the past 5 years?</w:t>
            </w:r>
            <w:r w:rsidR="00D4422F">
              <w:t>’</w:t>
            </w:r>
          </w:p>
          <w:p w14:paraId="17B13128" w14:textId="6DF439FD" w:rsidR="009D2B70" w:rsidRDefault="009D2B70" w:rsidP="0020659B"/>
        </w:tc>
      </w:tr>
      <w:tr w:rsidR="00CC6A17" w14:paraId="30730C5E" w14:textId="77777777" w:rsidTr="00AE2CCB">
        <w:tc>
          <w:tcPr>
            <w:tcW w:w="461" w:type="dxa"/>
          </w:tcPr>
          <w:p w14:paraId="0C3C2056" w14:textId="15D81CCD" w:rsidR="00CC6A17" w:rsidRDefault="00657699" w:rsidP="0020659B">
            <w:r>
              <w:t>41</w:t>
            </w:r>
          </w:p>
        </w:tc>
        <w:tc>
          <w:tcPr>
            <w:tcW w:w="4385" w:type="dxa"/>
          </w:tcPr>
          <w:p w14:paraId="79B1361E" w14:textId="1DAA6287" w:rsidR="00CC6A17" w:rsidRPr="0020659B" w:rsidRDefault="008A695C" w:rsidP="008A695C">
            <w:r>
              <w:t>Ref the PSQ, c</w:t>
            </w:r>
            <w:r>
              <w:t>an you please confirm there are no Legal Capacity Conditions of Participation for this tender exercise?</w:t>
            </w:r>
          </w:p>
        </w:tc>
        <w:tc>
          <w:tcPr>
            <w:tcW w:w="4170" w:type="dxa"/>
          </w:tcPr>
          <w:p w14:paraId="2318C51E" w14:textId="77777777" w:rsidR="00CC6A17" w:rsidRDefault="00634E2E" w:rsidP="0020659B">
            <w:r>
              <w:t>An updated document has been available for some time.</w:t>
            </w:r>
            <w:r>
              <w:t xml:space="preserve"> The legal capacity question states</w:t>
            </w:r>
            <w:r w:rsidR="00D11638">
              <w:t xml:space="preserve"> not applicable.</w:t>
            </w:r>
          </w:p>
          <w:p w14:paraId="1E76038D" w14:textId="5647BF1A" w:rsidR="00D11638" w:rsidRDefault="00D11638" w:rsidP="0020659B"/>
        </w:tc>
      </w:tr>
      <w:tr w:rsidR="00CC6A17" w14:paraId="4CCA8DB7" w14:textId="77777777" w:rsidTr="00AE2CCB">
        <w:tc>
          <w:tcPr>
            <w:tcW w:w="461" w:type="dxa"/>
          </w:tcPr>
          <w:p w14:paraId="48AE4B50" w14:textId="74EC9ED5" w:rsidR="00CC6A17" w:rsidRDefault="00D11638" w:rsidP="0020659B">
            <w:r>
              <w:lastRenderedPageBreak/>
              <w:t>42</w:t>
            </w:r>
          </w:p>
        </w:tc>
        <w:tc>
          <w:tcPr>
            <w:tcW w:w="4385" w:type="dxa"/>
          </w:tcPr>
          <w:p w14:paraId="2C2C3C16" w14:textId="77777777" w:rsidR="00CC6A17" w:rsidRDefault="00D11638" w:rsidP="00D11638">
            <w:r>
              <w:t>Do you anticipate call-off contracts focus on single programmes or combine multiple thematic areas within a single contract?</w:t>
            </w:r>
          </w:p>
          <w:p w14:paraId="618C1BBF" w14:textId="382D0D4F" w:rsidR="00D11638" w:rsidRPr="0020659B" w:rsidRDefault="00D11638" w:rsidP="00D11638"/>
        </w:tc>
        <w:tc>
          <w:tcPr>
            <w:tcW w:w="4170" w:type="dxa"/>
          </w:tcPr>
          <w:p w14:paraId="57114680" w14:textId="79C9F8C2" w:rsidR="00CC6A17" w:rsidRDefault="00311F52" w:rsidP="0020659B">
            <w:r>
              <w:t xml:space="preserve">There is potential for </w:t>
            </w:r>
            <w:proofErr w:type="gramStart"/>
            <w:r>
              <w:t>both of these</w:t>
            </w:r>
            <w:proofErr w:type="gramEnd"/>
            <w:r w:rsidR="0083133D">
              <w:t xml:space="preserve"> types of </w:t>
            </w:r>
            <w:r w:rsidR="00E76873">
              <w:t>contracts</w:t>
            </w:r>
            <w:r w:rsidR="0083133D">
              <w:t>, and others.</w:t>
            </w:r>
          </w:p>
        </w:tc>
      </w:tr>
      <w:tr w:rsidR="00CC6A17" w14:paraId="79A267D9" w14:textId="77777777" w:rsidTr="00AE2CCB">
        <w:tc>
          <w:tcPr>
            <w:tcW w:w="461" w:type="dxa"/>
          </w:tcPr>
          <w:p w14:paraId="11AB90EE" w14:textId="5664D84D" w:rsidR="00CC6A17" w:rsidRDefault="0083133D" w:rsidP="0020659B">
            <w:r>
              <w:t>43</w:t>
            </w:r>
          </w:p>
        </w:tc>
        <w:tc>
          <w:tcPr>
            <w:tcW w:w="4385" w:type="dxa"/>
          </w:tcPr>
          <w:p w14:paraId="7DE3C011" w14:textId="559E14DB" w:rsidR="00CC6A17" w:rsidRPr="0020659B" w:rsidRDefault="000E3CD3" w:rsidP="000E3CD3">
            <w:r>
              <w:t>Will AFCFT provide access to existing monitoring data and previous evaluations for secondary analysis/data review?</w:t>
            </w:r>
          </w:p>
        </w:tc>
        <w:tc>
          <w:tcPr>
            <w:tcW w:w="4170" w:type="dxa"/>
          </w:tcPr>
          <w:p w14:paraId="254C4290" w14:textId="0CB6373A" w:rsidR="00CC6A17" w:rsidRDefault="000E3CD3" w:rsidP="0020659B">
            <w:r>
              <w:t>Yes</w:t>
            </w:r>
          </w:p>
        </w:tc>
      </w:tr>
      <w:tr w:rsidR="00CC6A17" w14:paraId="483C7DFE" w14:textId="77777777" w:rsidTr="00AE2CCB">
        <w:tc>
          <w:tcPr>
            <w:tcW w:w="461" w:type="dxa"/>
          </w:tcPr>
          <w:p w14:paraId="6676F25B" w14:textId="27A523F7" w:rsidR="00CC6A17" w:rsidRDefault="000E3CD3" w:rsidP="0020659B">
            <w:r>
              <w:t>44</w:t>
            </w:r>
          </w:p>
        </w:tc>
        <w:tc>
          <w:tcPr>
            <w:tcW w:w="4385" w:type="dxa"/>
          </w:tcPr>
          <w:p w14:paraId="6D5FC39B" w14:textId="77777777" w:rsidR="00CC6A17" w:rsidRDefault="004B3590" w:rsidP="004B3590">
            <w:r>
              <w:t xml:space="preserve">Are there any restrictions on integrating external datasets or secondary data sources </w:t>
            </w:r>
            <w:proofErr w:type="gramStart"/>
            <w:r>
              <w:t>with regard to</w:t>
            </w:r>
            <w:proofErr w:type="gramEnd"/>
            <w:r>
              <w:t xml:space="preserve"> data protocols for sensitivity?</w:t>
            </w:r>
          </w:p>
          <w:p w14:paraId="7C3C7714" w14:textId="12CBA6E5" w:rsidR="004B3590" w:rsidRPr="0020659B" w:rsidRDefault="004B3590" w:rsidP="004B3590"/>
        </w:tc>
        <w:tc>
          <w:tcPr>
            <w:tcW w:w="4170" w:type="dxa"/>
          </w:tcPr>
          <w:p w14:paraId="0C791513" w14:textId="77777777" w:rsidR="00CC6A17" w:rsidRDefault="00DB6B18" w:rsidP="0020659B">
            <w:r>
              <w:t>Not specifically</w:t>
            </w:r>
            <w:r w:rsidR="009D08F8">
              <w:t>, although each circumstance</w:t>
            </w:r>
            <w:r w:rsidR="00BD69B0">
              <w:t xml:space="preserve"> </w:t>
            </w:r>
            <w:r w:rsidR="007311A8">
              <w:t xml:space="preserve">will be </w:t>
            </w:r>
            <w:r w:rsidR="004407B3">
              <w:t>assessed</w:t>
            </w:r>
            <w:r w:rsidR="00B01BAA">
              <w:t xml:space="preserve"> </w:t>
            </w:r>
            <w:r w:rsidR="005F1160">
              <w:t>accordingly to ensure</w:t>
            </w:r>
            <w:r w:rsidR="00FE27FC">
              <w:t xml:space="preserve"> data security</w:t>
            </w:r>
            <w:r w:rsidR="000C1F15">
              <w:t>,</w:t>
            </w:r>
            <w:r w:rsidR="00FE27FC">
              <w:t xml:space="preserve"> GDPR compliance</w:t>
            </w:r>
            <w:r w:rsidR="000C1F15">
              <w:t xml:space="preserve"> and other safety measures</w:t>
            </w:r>
            <w:r w:rsidR="002A75B8">
              <w:t xml:space="preserve"> are in place where needed</w:t>
            </w:r>
            <w:r w:rsidR="00570409">
              <w:t>.</w:t>
            </w:r>
          </w:p>
          <w:p w14:paraId="36B13B4B" w14:textId="66D79D8B" w:rsidR="002A75B8" w:rsidRDefault="002A75B8" w:rsidP="0020659B"/>
        </w:tc>
      </w:tr>
      <w:tr w:rsidR="00CC6A17" w14:paraId="0595C4D0" w14:textId="77777777" w:rsidTr="00AE2CCB">
        <w:tc>
          <w:tcPr>
            <w:tcW w:w="461" w:type="dxa"/>
          </w:tcPr>
          <w:p w14:paraId="53BA59A1" w14:textId="646A2164" w:rsidR="00CC6A17" w:rsidRDefault="003A4C3C" w:rsidP="0020659B">
            <w:r>
              <w:t>45</w:t>
            </w:r>
          </w:p>
        </w:tc>
        <w:tc>
          <w:tcPr>
            <w:tcW w:w="4385" w:type="dxa"/>
          </w:tcPr>
          <w:p w14:paraId="6573459C" w14:textId="77777777" w:rsidR="00CC6A17" w:rsidRDefault="003A4C3C" w:rsidP="003A4C3C">
            <w:r>
              <w:t>Do you anticipate a roughly equal allocation of tender opportunities / value across the areas outlined in APPENDIX B – SERVICE SPECIFICATION Background 1.5 or will activity be more heavily weighted to a specific area?</w:t>
            </w:r>
          </w:p>
          <w:p w14:paraId="2F0D65F5" w14:textId="6214C75A" w:rsidR="003258B8" w:rsidRPr="0020659B" w:rsidRDefault="003258B8" w:rsidP="003A4C3C"/>
        </w:tc>
        <w:tc>
          <w:tcPr>
            <w:tcW w:w="4170" w:type="dxa"/>
          </w:tcPr>
          <w:p w14:paraId="300D3422" w14:textId="5BCCE5D8" w:rsidR="00CC6A17" w:rsidRDefault="00B12AA7" w:rsidP="0020659B">
            <w:r>
              <w:t xml:space="preserve">There is roughly equal potential </w:t>
            </w:r>
            <w:r w:rsidR="00E45DCC">
              <w:t xml:space="preserve">for each of these four main </w:t>
            </w:r>
            <w:r w:rsidR="00382F3B">
              <w:t>areas of research activity to be required over the course of this Framework</w:t>
            </w:r>
            <w:r w:rsidR="003258B8">
              <w:t>.</w:t>
            </w:r>
          </w:p>
        </w:tc>
      </w:tr>
      <w:tr w:rsidR="00CC6A17" w14:paraId="6DB2B618" w14:textId="77777777" w:rsidTr="00AE2CCB">
        <w:tc>
          <w:tcPr>
            <w:tcW w:w="461" w:type="dxa"/>
          </w:tcPr>
          <w:p w14:paraId="5DAC057A" w14:textId="54D85418" w:rsidR="00CC6A17" w:rsidRDefault="00417C79" w:rsidP="0020659B">
            <w:r>
              <w:t>46</w:t>
            </w:r>
          </w:p>
        </w:tc>
        <w:tc>
          <w:tcPr>
            <w:tcW w:w="4385" w:type="dxa"/>
          </w:tcPr>
          <w:p w14:paraId="14A84795" w14:textId="77777777" w:rsidR="00CC6A17" w:rsidRDefault="00417C79" w:rsidP="00417C79">
            <w:r>
              <w:t>Are you able to describe the level of stakeholder engagement expected on sensitive topics with vulnerable groups (e.g. workshops, advisory/focus groups, interviews, etc.)</w:t>
            </w:r>
          </w:p>
          <w:p w14:paraId="2B5AEFB7" w14:textId="6B784668" w:rsidR="00417C79" w:rsidRPr="0020659B" w:rsidRDefault="00417C79" w:rsidP="00417C79"/>
        </w:tc>
        <w:tc>
          <w:tcPr>
            <w:tcW w:w="4170" w:type="dxa"/>
          </w:tcPr>
          <w:p w14:paraId="5AAB0384" w14:textId="3B65E56F" w:rsidR="00CC6A17" w:rsidRDefault="00114441" w:rsidP="0020659B">
            <w:r>
              <w:t>This will depend on the contract requirements and circumstances</w:t>
            </w:r>
            <w:r w:rsidR="005621CC">
              <w:t>, but some engagement with vulnerable groups may be required</w:t>
            </w:r>
            <w:r w:rsidR="00E23122">
              <w:t xml:space="preserve"> and will be expected to be handled</w:t>
            </w:r>
            <w:r w:rsidR="0052674A">
              <w:t xml:space="preserve"> appropriately.</w:t>
            </w:r>
          </w:p>
        </w:tc>
      </w:tr>
    </w:tbl>
    <w:p w14:paraId="2D7715EA" w14:textId="77777777" w:rsidR="00710E91" w:rsidRDefault="00710E91"/>
    <w:sectPr w:rsidR="00710E9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68FD"/>
    <w:rsid w:val="00015B97"/>
    <w:rsid w:val="00015F7E"/>
    <w:rsid w:val="000175F4"/>
    <w:rsid w:val="00034469"/>
    <w:rsid w:val="00077E1A"/>
    <w:rsid w:val="00095580"/>
    <w:rsid w:val="00097AA9"/>
    <w:rsid w:val="000A0BA0"/>
    <w:rsid w:val="000A78D9"/>
    <w:rsid w:val="000C1F15"/>
    <w:rsid w:val="000D7357"/>
    <w:rsid w:val="000E1D96"/>
    <w:rsid w:val="000E3CD3"/>
    <w:rsid w:val="000E3D1A"/>
    <w:rsid w:val="000E4AB0"/>
    <w:rsid w:val="000F293E"/>
    <w:rsid w:val="000F4A4B"/>
    <w:rsid w:val="00101675"/>
    <w:rsid w:val="00102D9D"/>
    <w:rsid w:val="00104705"/>
    <w:rsid w:val="00114441"/>
    <w:rsid w:val="0011535A"/>
    <w:rsid w:val="00147CC0"/>
    <w:rsid w:val="001648E9"/>
    <w:rsid w:val="00180EDC"/>
    <w:rsid w:val="001B5306"/>
    <w:rsid w:val="001C0314"/>
    <w:rsid w:val="001C646F"/>
    <w:rsid w:val="001D20FC"/>
    <w:rsid w:val="001E4F78"/>
    <w:rsid w:val="001E66CE"/>
    <w:rsid w:val="001F498A"/>
    <w:rsid w:val="001F7ABB"/>
    <w:rsid w:val="002018EF"/>
    <w:rsid w:val="0020350B"/>
    <w:rsid w:val="002051A5"/>
    <w:rsid w:val="0020659B"/>
    <w:rsid w:val="00215BFA"/>
    <w:rsid w:val="00221DA7"/>
    <w:rsid w:val="00243D26"/>
    <w:rsid w:val="002725AE"/>
    <w:rsid w:val="0027410C"/>
    <w:rsid w:val="00280D36"/>
    <w:rsid w:val="002A6D89"/>
    <w:rsid w:val="002A75B8"/>
    <w:rsid w:val="002B3A28"/>
    <w:rsid w:val="002B3B0B"/>
    <w:rsid w:val="002D06B9"/>
    <w:rsid w:val="002D4348"/>
    <w:rsid w:val="002E4E2F"/>
    <w:rsid w:val="002F0CB8"/>
    <w:rsid w:val="002F18E5"/>
    <w:rsid w:val="00311F52"/>
    <w:rsid w:val="00313CD0"/>
    <w:rsid w:val="003205A1"/>
    <w:rsid w:val="003258B8"/>
    <w:rsid w:val="003308DA"/>
    <w:rsid w:val="00333C15"/>
    <w:rsid w:val="00333E1C"/>
    <w:rsid w:val="00344267"/>
    <w:rsid w:val="00352302"/>
    <w:rsid w:val="00354A94"/>
    <w:rsid w:val="00370313"/>
    <w:rsid w:val="00374E63"/>
    <w:rsid w:val="0037651E"/>
    <w:rsid w:val="00382F3B"/>
    <w:rsid w:val="003A4C3C"/>
    <w:rsid w:val="003B2F8F"/>
    <w:rsid w:val="003B3A88"/>
    <w:rsid w:val="003E28F2"/>
    <w:rsid w:val="00412865"/>
    <w:rsid w:val="00412F26"/>
    <w:rsid w:val="00417C79"/>
    <w:rsid w:val="00423711"/>
    <w:rsid w:val="00425A44"/>
    <w:rsid w:val="004407B3"/>
    <w:rsid w:val="00450810"/>
    <w:rsid w:val="00471210"/>
    <w:rsid w:val="004877E0"/>
    <w:rsid w:val="004919EC"/>
    <w:rsid w:val="004B3590"/>
    <w:rsid w:val="004C1D64"/>
    <w:rsid w:val="004F142C"/>
    <w:rsid w:val="004F38A7"/>
    <w:rsid w:val="00507970"/>
    <w:rsid w:val="00516168"/>
    <w:rsid w:val="00516EEB"/>
    <w:rsid w:val="00520586"/>
    <w:rsid w:val="005222FD"/>
    <w:rsid w:val="0052674A"/>
    <w:rsid w:val="005359D4"/>
    <w:rsid w:val="00544F7B"/>
    <w:rsid w:val="00561CDC"/>
    <w:rsid w:val="005621CC"/>
    <w:rsid w:val="00564A6A"/>
    <w:rsid w:val="00570409"/>
    <w:rsid w:val="00573A60"/>
    <w:rsid w:val="00581ED0"/>
    <w:rsid w:val="00583689"/>
    <w:rsid w:val="005926AB"/>
    <w:rsid w:val="005939F8"/>
    <w:rsid w:val="005A3262"/>
    <w:rsid w:val="005C6480"/>
    <w:rsid w:val="005C6BE7"/>
    <w:rsid w:val="005E53E1"/>
    <w:rsid w:val="005E565D"/>
    <w:rsid w:val="005F1160"/>
    <w:rsid w:val="005F7CDB"/>
    <w:rsid w:val="0060338D"/>
    <w:rsid w:val="00603796"/>
    <w:rsid w:val="00623CF2"/>
    <w:rsid w:val="00627E3A"/>
    <w:rsid w:val="006305B2"/>
    <w:rsid w:val="0063148F"/>
    <w:rsid w:val="00634E2E"/>
    <w:rsid w:val="00644639"/>
    <w:rsid w:val="00657699"/>
    <w:rsid w:val="00666D18"/>
    <w:rsid w:val="0069665B"/>
    <w:rsid w:val="006A69FD"/>
    <w:rsid w:val="006A6DE3"/>
    <w:rsid w:val="006B65C9"/>
    <w:rsid w:val="006C37D5"/>
    <w:rsid w:val="006D5971"/>
    <w:rsid w:val="006D6DD0"/>
    <w:rsid w:val="006E50E6"/>
    <w:rsid w:val="006F6D3D"/>
    <w:rsid w:val="007033E5"/>
    <w:rsid w:val="00710E91"/>
    <w:rsid w:val="007146A9"/>
    <w:rsid w:val="007311A8"/>
    <w:rsid w:val="00731C13"/>
    <w:rsid w:val="00734B87"/>
    <w:rsid w:val="00735EC5"/>
    <w:rsid w:val="00743963"/>
    <w:rsid w:val="00745571"/>
    <w:rsid w:val="007462C1"/>
    <w:rsid w:val="00766387"/>
    <w:rsid w:val="007671B9"/>
    <w:rsid w:val="00772A63"/>
    <w:rsid w:val="00772B29"/>
    <w:rsid w:val="00772DF6"/>
    <w:rsid w:val="007A24E4"/>
    <w:rsid w:val="007A265D"/>
    <w:rsid w:val="007A29A5"/>
    <w:rsid w:val="007B0409"/>
    <w:rsid w:val="007B2E4E"/>
    <w:rsid w:val="007B3A38"/>
    <w:rsid w:val="007B7851"/>
    <w:rsid w:val="007D33B7"/>
    <w:rsid w:val="007F5026"/>
    <w:rsid w:val="00803BD1"/>
    <w:rsid w:val="0082478F"/>
    <w:rsid w:val="0083133D"/>
    <w:rsid w:val="008339BF"/>
    <w:rsid w:val="00834024"/>
    <w:rsid w:val="00842B85"/>
    <w:rsid w:val="00847543"/>
    <w:rsid w:val="00852982"/>
    <w:rsid w:val="00856468"/>
    <w:rsid w:val="008664AE"/>
    <w:rsid w:val="00871E6A"/>
    <w:rsid w:val="00875799"/>
    <w:rsid w:val="0088227A"/>
    <w:rsid w:val="00884E84"/>
    <w:rsid w:val="008A523F"/>
    <w:rsid w:val="008A695C"/>
    <w:rsid w:val="008C0888"/>
    <w:rsid w:val="008C7F52"/>
    <w:rsid w:val="008F3AB3"/>
    <w:rsid w:val="009001F3"/>
    <w:rsid w:val="00901ABA"/>
    <w:rsid w:val="00902645"/>
    <w:rsid w:val="009039FA"/>
    <w:rsid w:val="0092196E"/>
    <w:rsid w:val="00925141"/>
    <w:rsid w:val="0097398A"/>
    <w:rsid w:val="00977115"/>
    <w:rsid w:val="009806BD"/>
    <w:rsid w:val="00982CFF"/>
    <w:rsid w:val="00985041"/>
    <w:rsid w:val="009874C5"/>
    <w:rsid w:val="00987B40"/>
    <w:rsid w:val="0099334A"/>
    <w:rsid w:val="0099572D"/>
    <w:rsid w:val="009B0F67"/>
    <w:rsid w:val="009B468A"/>
    <w:rsid w:val="009D08F8"/>
    <w:rsid w:val="009D2B70"/>
    <w:rsid w:val="00A03CC1"/>
    <w:rsid w:val="00A05F3E"/>
    <w:rsid w:val="00A1505B"/>
    <w:rsid w:val="00A2125E"/>
    <w:rsid w:val="00A34A5F"/>
    <w:rsid w:val="00A3587B"/>
    <w:rsid w:val="00A4115D"/>
    <w:rsid w:val="00A63A7B"/>
    <w:rsid w:val="00A654E8"/>
    <w:rsid w:val="00A659CE"/>
    <w:rsid w:val="00A70D36"/>
    <w:rsid w:val="00A842E8"/>
    <w:rsid w:val="00A8556A"/>
    <w:rsid w:val="00A85B83"/>
    <w:rsid w:val="00A920E2"/>
    <w:rsid w:val="00AE2CCB"/>
    <w:rsid w:val="00AF7056"/>
    <w:rsid w:val="00B01BAA"/>
    <w:rsid w:val="00B07E61"/>
    <w:rsid w:val="00B12AA7"/>
    <w:rsid w:val="00B1377A"/>
    <w:rsid w:val="00B16E88"/>
    <w:rsid w:val="00B2170B"/>
    <w:rsid w:val="00B2293B"/>
    <w:rsid w:val="00B26507"/>
    <w:rsid w:val="00B33F49"/>
    <w:rsid w:val="00B45EEE"/>
    <w:rsid w:val="00B46C5E"/>
    <w:rsid w:val="00B662B0"/>
    <w:rsid w:val="00B72360"/>
    <w:rsid w:val="00B73F93"/>
    <w:rsid w:val="00B93805"/>
    <w:rsid w:val="00BB0287"/>
    <w:rsid w:val="00BB18D7"/>
    <w:rsid w:val="00BB7AA0"/>
    <w:rsid w:val="00BC129C"/>
    <w:rsid w:val="00BD55FD"/>
    <w:rsid w:val="00BD668D"/>
    <w:rsid w:val="00BD69B0"/>
    <w:rsid w:val="00BE68FD"/>
    <w:rsid w:val="00BE6A89"/>
    <w:rsid w:val="00BF02C3"/>
    <w:rsid w:val="00C2364F"/>
    <w:rsid w:val="00C32CB4"/>
    <w:rsid w:val="00C35C32"/>
    <w:rsid w:val="00C46B65"/>
    <w:rsid w:val="00C723BC"/>
    <w:rsid w:val="00C742A4"/>
    <w:rsid w:val="00C81C1E"/>
    <w:rsid w:val="00C842D1"/>
    <w:rsid w:val="00CB0591"/>
    <w:rsid w:val="00CC6A17"/>
    <w:rsid w:val="00CE49C3"/>
    <w:rsid w:val="00CF53CB"/>
    <w:rsid w:val="00D11638"/>
    <w:rsid w:val="00D17CE9"/>
    <w:rsid w:val="00D3544E"/>
    <w:rsid w:val="00D4422F"/>
    <w:rsid w:val="00D46290"/>
    <w:rsid w:val="00D475A9"/>
    <w:rsid w:val="00D57FD3"/>
    <w:rsid w:val="00D7486A"/>
    <w:rsid w:val="00DB013D"/>
    <w:rsid w:val="00DB0F96"/>
    <w:rsid w:val="00DB59BE"/>
    <w:rsid w:val="00DB6B18"/>
    <w:rsid w:val="00DC1D34"/>
    <w:rsid w:val="00DC5248"/>
    <w:rsid w:val="00DC5B2E"/>
    <w:rsid w:val="00DC6847"/>
    <w:rsid w:val="00DD402D"/>
    <w:rsid w:val="00DE211D"/>
    <w:rsid w:val="00DF6E42"/>
    <w:rsid w:val="00DF7299"/>
    <w:rsid w:val="00DF7CE0"/>
    <w:rsid w:val="00DF7EA6"/>
    <w:rsid w:val="00E2292C"/>
    <w:rsid w:val="00E23122"/>
    <w:rsid w:val="00E37C8C"/>
    <w:rsid w:val="00E37CDC"/>
    <w:rsid w:val="00E37E2A"/>
    <w:rsid w:val="00E443DE"/>
    <w:rsid w:val="00E45DCC"/>
    <w:rsid w:val="00E57578"/>
    <w:rsid w:val="00E66389"/>
    <w:rsid w:val="00E76873"/>
    <w:rsid w:val="00EA1EFA"/>
    <w:rsid w:val="00EA2573"/>
    <w:rsid w:val="00ED540A"/>
    <w:rsid w:val="00EE6B1F"/>
    <w:rsid w:val="00EF2684"/>
    <w:rsid w:val="00F144C7"/>
    <w:rsid w:val="00F22428"/>
    <w:rsid w:val="00F2547C"/>
    <w:rsid w:val="00F30AA7"/>
    <w:rsid w:val="00F4340E"/>
    <w:rsid w:val="00F44094"/>
    <w:rsid w:val="00F55173"/>
    <w:rsid w:val="00F60663"/>
    <w:rsid w:val="00F70387"/>
    <w:rsid w:val="00F75A78"/>
    <w:rsid w:val="00F85022"/>
    <w:rsid w:val="00F96306"/>
    <w:rsid w:val="00F96669"/>
    <w:rsid w:val="00FB001F"/>
    <w:rsid w:val="00FB263A"/>
    <w:rsid w:val="00FD67BF"/>
    <w:rsid w:val="00FE27FC"/>
    <w:rsid w:val="00FF3C1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1C7ED7"/>
  <w15:chartTrackingRefBased/>
  <w15:docId w15:val="{03D540AF-4E87-47BF-8553-E86294A2C9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kern w:val="2"/>
        <w:sz w:val="22"/>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A3262"/>
  </w:style>
  <w:style w:type="paragraph" w:styleId="Heading1">
    <w:name w:val="heading 1"/>
    <w:basedOn w:val="Normal"/>
    <w:next w:val="Normal"/>
    <w:link w:val="Heading1Char"/>
    <w:uiPriority w:val="9"/>
    <w:qFormat/>
    <w:rsid w:val="00BE68F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E68F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E68FD"/>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E68FD"/>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BE68FD"/>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BE68FD"/>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BE68FD"/>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BE68FD"/>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BE68FD"/>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E68F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E68F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E68FD"/>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E68FD"/>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BE68FD"/>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BE68FD"/>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BE68FD"/>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BE68FD"/>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BE68FD"/>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BE68F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E68F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E68FD"/>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E68FD"/>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BE68FD"/>
    <w:pPr>
      <w:spacing w:before="160"/>
      <w:jc w:val="center"/>
    </w:pPr>
    <w:rPr>
      <w:i/>
      <w:iCs/>
      <w:color w:val="404040" w:themeColor="text1" w:themeTint="BF"/>
    </w:rPr>
  </w:style>
  <w:style w:type="character" w:customStyle="1" w:styleId="QuoteChar">
    <w:name w:val="Quote Char"/>
    <w:basedOn w:val="DefaultParagraphFont"/>
    <w:link w:val="Quote"/>
    <w:uiPriority w:val="29"/>
    <w:rsid w:val="00BE68FD"/>
    <w:rPr>
      <w:i/>
      <w:iCs/>
      <w:color w:val="404040" w:themeColor="text1" w:themeTint="BF"/>
    </w:rPr>
  </w:style>
  <w:style w:type="paragraph" w:styleId="ListParagraph">
    <w:name w:val="List Paragraph"/>
    <w:basedOn w:val="Normal"/>
    <w:uiPriority w:val="34"/>
    <w:qFormat/>
    <w:rsid w:val="00BE68FD"/>
    <w:pPr>
      <w:ind w:left="720"/>
      <w:contextualSpacing/>
    </w:pPr>
  </w:style>
  <w:style w:type="character" w:styleId="IntenseEmphasis">
    <w:name w:val="Intense Emphasis"/>
    <w:basedOn w:val="DefaultParagraphFont"/>
    <w:uiPriority w:val="21"/>
    <w:qFormat/>
    <w:rsid w:val="00BE68FD"/>
    <w:rPr>
      <w:i/>
      <w:iCs/>
      <w:color w:val="0F4761" w:themeColor="accent1" w:themeShade="BF"/>
    </w:rPr>
  </w:style>
  <w:style w:type="paragraph" w:styleId="IntenseQuote">
    <w:name w:val="Intense Quote"/>
    <w:basedOn w:val="Normal"/>
    <w:next w:val="Normal"/>
    <w:link w:val="IntenseQuoteChar"/>
    <w:uiPriority w:val="30"/>
    <w:qFormat/>
    <w:rsid w:val="00BE68F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E68FD"/>
    <w:rPr>
      <w:i/>
      <w:iCs/>
      <w:color w:val="0F4761" w:themeColor="accent1" w:themeShade="BF"/>
    </w:rPr>
  </w:style>
  <w:style w:type="character" w:styleId="IntenseReference">
    <w:name w:val="Intense Reference"/>
    <w:basedOn w:val="DefaultParagraphFont"/>
    <w:uiPriority w:val="32"/>
    <w:qFormat/>
    <w:rsid w:val="00BE68FD"/>
    <w:rPr>
      <w:b/>
      <w:bCs/>
      <w:smallCaps/>
      <w:color w:val="0F4761" w:themeColor="accent1" w:themeShade="BF"/>
      <w:spacing w:val="5"/>
    </w:rPr>
  </w:style>
  <w:style w:type="table" w:styleId="TableGrid">
    <w:name w:val="Table Grid"/>
    <w:basedOn w:val="TableNormal"/>
    <w:uiPriority w:val="39"/>
    <w:rsid w:val="00BE68F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BE68FD"/>
    <w:rPr>
      <w:color w:val="467886" w:themeColor="hyperlink"/>
      <w:u w:val="single"/>
    </w:rPr>
  </w:style>
  <w:style w:type="character" w:styleId="UnresolvedMention">
    <w:name w:val="Unresolved Mention"/>
    <w:basedOn w:val="DefaultParagraphFont"/>
    <w:uiPriority w:val="99"/>
    <w:semiHidden/>
    <w:unhideWhenUsed/>
    <w:rsid w:val="00BE68F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tenders@covenantfund.org.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8</Pages>
  <Words>3287</Words>
  <Characters>17391</Characters>
  <Application>Microsoft Office Word</Application>
  <DocSecurity>0</DocSecurity>
  <Lines>695</Lines>
  <Paragraphs>175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20503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 Traynor</dc:creator>
  <cp:keywords/>
  <dc:description/>
  <cp:lastModifiedBy>Tom Traynor</cp:lastModifiedBy>
  <cp:revision>2</cp:revision>
  <dcterms:created xsi:type="dcterms:W3CDTF">2026-01-16T15:16:00Z</dcterms:created>
  <dcterms:modified xsi:type="dcterms:W3CDTF">2026-01-16T15:16:00Z</dcterms:modified>
</cp:coreProperties>
</file>