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AC31" w14:textId="4DF7CBDF" w:rsidR="00E5488A" w:rsidRPr="00E5488A" w:rsidRDefault="005F25CB" w:rsidP="000C4F02">
      <w:pPr>
        <w:spacing w:after="160"/>
        <w:jc w:val="center"/>
        <w:rPr>
          <w:rFonts w:eastAsia="Arial" w:cs="Arial"/>
          <w:b/>
          <w:sz w:val="40"/>
        </w:rPr>
      </w:pPr>
      <w:r>
        <w:rPr>
          <w:rFonts w:eastAsia="Arial" w:cs="Arial"/>
          <w:b/>
          <w:noProof/>
          <w:sz w:val="40"/>
        </w:rPr>
        <w:drawing>
          <wp:inline distT="0" distB="0" distL="0" distR="0" wp14:anchorId="3655049A" wp14:editId="2A5D9E2D">
            <wp:extent cx="5296852" cy="1276350"/>
            <wp:effectExtent l="0" t="0" r="0" b="0"/>
            <wp:docPr id="807224830" name="Picture 1" descr="Armed Forces Covenant Fund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24830" name="Picture 1" descr="Armed Forces Covenant Fund Trust logo"/>
                    <pic:cNvPicPr/>
                  </pic:nvPicPr>
                  <pic:blipFill>
                    <a:blip r:embed="rId10">
                      <a:extLst>
                        <a:ext uri="{28A0092B-C50C-407E-A947-70E740481C1C}">
                          <a14:useLocalDpi xmlns:a14="http://schemas.microsoft.com/office/drawing/2010/main" val="0"/>
                        </a:ext>
                      </a:extLst>
                    </a:blip>
                    <a:stretch>
                      <a:fillRect/>
                    </a:stretch>
                  </pic:blipFill>
                  <pic:spPr>
                    <a:xfrm>
                      <a:off x="0" y="0"/>
                      <a:ext cx="5309821" cy="1279475"/>
                    </a:xfrm>
                    <a:prstGeom prst="rect">
                      <a:avLst/>
                    </a:prstGeom>
                  </pic:spPr>
                </pic:pic>
              </a:graphicData>
            </a:graphic>
          </wp:inline>
        </w:drawing>
      </w:r>
    </w:p>
    <w:p w14:paraId="064CB943" w14:textId="77777777" w:rsidR="00E5488A" w:rsidRPr="00E5488A" w:rsidRDefault="00E5488A" w:rsidP="00E5488A">
      <w:pPr>
        <w:spacing w:after="160"/>
        <w:jc w:val="center"/>
        <w:rPr>
          <w:rFonts w:eastAsia="Arial" w:cs="Arial"/>
          <w:b/>
          <w:sz w:val="40"/>
        </w:rPr>
      </w:pPr>
    </w:p>
    <w:p w14:paraId="486BE135" w14:textId="77777777" w:rsidR="00E5488A" w:rsidRPr="00E5488A" w:rsidRDefault="00E5488A" w:rsidP="00E5488A">
      <w:pPr>
        <w:spacing w:after="160"/>
        <w:jc w:val="center"/>
        <w:rPr>
          <w:rFonts w:eastAsia="Arial" w:cs="Arial"/>
          <w:b/>
          <w:sz w:val="40"/>
        </w:rPr>
      </w:pPr>
    </w:p>
    <w:p w14:paraId="6DAB8BFD" w14:textId="77777777" w:rsidR="00E5488A" w:rsidRPr="00E5488A" w:rsidRDefault="00E5488A" w:rsidP="00E5488A">
      <w:pPr>
        <w:spacing w:after="160"/>
        <w:jc w:val="center"/>
        <w:rPr>
          <w:rFonts w:eastAsia="Arial" w:cs="Arial"/>
          <w:b/>
          <w:sz w:val="40"/>
        </w:rPr>
      </w:pPr>
    </w:p>
    <w:p w14:paraId="69264BAA" w14:textId="77777777" w:rsidR="00E5488A" w:rsidRPr="00E5488A" w:rsidRDefault="00E5488A" w:rsidP="00E5488A">
      <w:pPr>
        <w:spacing w:after="160"/>
        <w:jc w:val="center"/>
        <w:rPr>
          <w:rFonts w:eastAsia="Arial" w:cs="Arial"/>
          <w:b/>
          <w:sz w:val="40"/>
        </w:rPr>
      </w:pPr>
      <w:r w:rsidRPr="00E5488A">
        <w:rPr>
          <w:rFonts w:eastAsia="Arial" w:cs="Arial"/>
          <w:b/>
          <w:sz w:val="40"/>
        </w:rPr>
        <w:t>INVITATION TO TENDER</w:t>
      </w:r>
    </w:p>
    <w:p w14:paraId="7D31A22E" w14:textId="77777777" w:rsidR="00E5488A" w:rsidRPr="00E5488A" w:rsidRDefault="00E5488A" w:rsidP="00E5488A">
      <w:pPr>
        <w:spacing w:after="160"/>
        <w:jc w:val="center"/>
        <w:rPr>
          <w:rFonts w:eastAsia="Arial" w:cs="Arial"/>
          <w:b/>
          <w:sz w:val="36"/>
        </w:rPr>
      </w:pPr>
    </w:p>
    <w:p w14:paraId="7427AE5A" w14:textId="452D389B" w:rsidR="00E5488A" w:rsidRPr="00E5488A" w:rsidRDefault="001D038F" w:rsidP="00E5488A">
      <w:pPr>
        <w:spacing w:after="160"/>
        <w:jc w:val="center"/>
        <w:rPr>
          <w:rFonts w:eastAsia="Arial" w:cs="Arial"/>
          <w:b/>
          <w:sz w:val="24"/>
          <w:szCs w:val="24"/>
        </w:rPr>
      </w:pPr>
      <w:r>
        <w:rPr>
          <w:rFonts w:eastAsia="Arial" w:cs="Arial"/>
          <w:b/>
          <w:sz w:val="24"/>
          <w:szCs w:val="24"/>
        </w:rPr>
        <w:t>Closed Framework for Research and Evaluation Services</w:t>
      </w:r>
    </w:p>
    <w:p w14:paraId="4E3738CE" w14:textId="2D727441" w:rsidR="00E5488A" w:rsidRDefault="00A72596" w:rsidP="00E5488A">
      <w:pPr>
        <w:spacing w:after="160"/>
        <w:jc w:val="center"/>
        <w:rPr>
          <w:rFonts w:eastAsia="Arial" w:cs="Arial"/>
          <w:b/>
          <w:sz w:val="24"/>
          <w:szCs w:val="24"/>
        </w:rPr>
      </w:pPr>
      <w:r>
        <w:rPr>
          <w:rFonts w:eastAsia="Arial" w:cs="Arial"/>
          <w:b/>
          <w:sz w:val="24"/>
          <w:szCs w:val="24"/>
        </w:rPr>
        <w:t>2025-000007</w:t>
      </w:r>
    </w:p>
    <w:p w14:paraId="7EA73D02" w14:textId="77777777" w:rsidR="00E5488A" w:rsidRPr="00E5488A" w:rsidRDefault="00E5488A" w:rsidP="00E5488A">
      <w:pPr>
        <w:spacing w:after="160"/>
        <w:jc w:val="center"/>
        <w:rPr>
          <w:rFonts w:eastAsia="Arial" w:cs="Arial"/>
          <w:sz w:val="24"/>
          <w:szCs w:val="24"/>
        </w:rPr>
      </w:pPr>
      <w:r w:rsidRPr="00E5488A">
        <w:rPr>
          <w:rFonts w:eastAsia="Arial" w:cs="Arial"/>
          <w:b/>
          <w:sz w:val="24"/>
          <w:szCs w:val="24"/>
        </w:rPr>
        <w:t xml:space="preserve">                                                 </w:t>
      </w:r>
    </w:p>
    <w:p w14:paraId="70DC6F7B" w14:textId="6AF2F5E8" w:rsidR="00E5488A" w:rsidRPr="00E5488A" w:rsidRDefault="00E5488A" w:rsidP="00E5488A">
      <w:pPr>
        <w:spacing w:before="120" w:after="120"/>
        <w:jc w:val="center"/>
        <w:rPr>
          <w:rFonts w:eastAsia="Arial" w:cs="Arial"/>
          <w:b/>
        </w:rPr>
      </w:pPr>
      <w:r w:rsidRPr="00E5488A">
        <w:rPr>
          <w:rFonts w:eastAsia="Arial" w:cs="Arial"/>
          <w:b/>
          <w:sz w:val="24"/>
          <w:szCs w:val="24"/>
        </w:rPr>
        <w:t xml:space="preserve">OPEN PROCEDURE </w:t>
      </w:r>
      <w:r>
        <w:rPr>
          <w:rFonts w:eastAsia="Arial" w:cs="Arial"/>
          <w:b/>
          <w:sz w:val="24"/>
          <w:szCs w:val="24"/>
        </w:rPr>
        <w:t>UNDER THE PROCUREMENT ACT 2023</w:t>
      </w:r>
    </w:p>
    <w:p w14:paraId="329FE114" w14:textId="77777777" w:rsidR="00E5488A" w:rsidRDefault="00E5488A" w:rsidP="00E5488A">
      <w:pPr>
        <w:spacing w:before="120" w:after="120"/>
        <w:jc w:val="center"/>
        <w:rPr>
          <w:rFonts w:eastAsia="Arial" w:cs="Arial"/>
          <w:b/>
        </w:rPr>
      </w:pPr>
      <w:r w:rsidRPr="00E5488A">
        <w:rPr>
          <w:rFonts w:eastAsia="Arial" w:cs="Arial"/>
          <w:b/>
          <w:highlight w:val="yellow"/>
        </w:rPr>
        <w:br w:type="page"/>
      </w:r>
    </w:p>
    <w:p w14:paraId="5E146DE4" w14:textId="72E16A46" w:rsidR="00AE6CA8" w:rsidRDefault="00AE6CA8">
      <w:pPr>
        <w:adjustRightInd/>
        <w:spacing w:after="160" w:line="259" w:lineRule="auto"/>
        <w:rPr>
          <w:rFonts w:eastAsia="Arial" w:cs="Arial"/>
          <w:b/>
        </w:rPr>
      </w:pPr>
    </w:p>
    <w:p w14:paraId="1F02F0BC" w14:textId="77777777" w:rsidR="00A06C92" w:rsidRDefault="00E5488A" w:rsidP="00A06C92">
      <w:pPr>
        <w:spacing w:before="120" w:after="120"/>
        <w:jc w:val="center"/>
        <w:rPr>
          <w:rFonts w:eastAsia="Arial" w:cs="Arial"/>
          <w:b/>
          <w:u w:val="single"/>
        </w:rPr>
      </w:pPr>
      <w:r w:rsidRPr="00E5488A">
        <w:rPr>
          <w:rFonts w:eastAsia="Arial" w:cs="Arial"/>
          <w:b/>
          <w:u w:val="single"/>
        </w:rPr>
        <w:t>CONTENTS</w:t>
      </w:r>
    </w:p>
    <w:sdt>
      <w:sdtPr>
        <w:id w:val="1893844204"/>
        <w:docPartObj>
          <w:docPartGallery w:val="Table of Contents"/>
          <w:docPartUnique/>
        </w:docPartObj>
      </w:sdtPr>
      <w:sdtEndPr>
        <w:rPr>
          <w:b/>
          <w:bCs/>
        </w:rPr>
      </w:sdtEndPr>
      <w:sdtContent>
        <w:p w14:paraId="6EB9C7B0" w14:textId="50566F91" w:rsidR="00980191" w:rsidRPr="00A06C92" w:rsidRDefault="00980191" w:rsidP="00A06C92">
          <w:pPr>
            <w:spacing w:before="120" w:after="120"/>
            <w:jc w:val="center"/>
            <w:rPr>
              <w:rFonts w:eastAsia="Arial" w:cs="Arial"/>
              <w:b/>
              <w:u w:val="single"/>
            </w:rPr>
          </w:pPr>
        </w:p>
        <w:p w14:paraId="3A4F6008" w14:textId="158DA0DF" w:rsidR="001B3144" w:rsidRDefault="00980191">
          <w:pPr>
            <w:pStyle w:val="TOC1"/>
            <w:rPr>
              <w:rFonts w:asciiTheme="minorHAnsi" w:eastAsiaTheme="minorEastAsia" w:hAnsiTheme="minorHAnsi" w:cstheme="minorBidi"/>
              <w:caps w:val="0"/>
              <w:noProof/>
              <w:kern w:val="2"/>
              <w:sz w:val="24"/>
              <w:szCs w:val="24"/>
              <w14:ligatures w14:val="standardContextual"/>
            </w:rPr>
          </w:pPr>
          <w:r>
            <w:fldChar w:fldCharType="begin"/>
          </w:r>
          <w:r>
            <w:instrText xml:space="preserve"> TOC \o "1-3" \h \z \u </w:instrText>
          </w:r>
          <w:r>
            <w:fldChar w:fldCharType="separate"/>
          </w:r>
          <w:hyperlink w:anchor="_Toc197441900" w:history="1">
            <w:r w:rsidR="001B3144" w:rsidRPr="00A712B1">
              <w:rPr>
                <w:rStyle w:val="Hyperlink"/>
                <w:noProof/>
              </w:rPr>
              <w:t>SECTION 1 – DEADLINE FOR RESPONDING TO THIS DOCUMENT</w:t>
            </w:r>
            <w:r w:rsidR="001B3144">
              <w:rPr>
                <w:noProof/>
                <w:webHidden/>
              </w:rPr>
              <w:tab/>
            </w:r>
            <w:r w:rsidR="001B3144">
              <w:rPr>
                <w:noProof/>
                <w:webHidden/>
              </w:rPr>
              <w:fldChar w:fldCharType="begin"/>
            </w:r>
            <w:r w:rsidR="001B3144">
              <w:rPr>
                <w:noProof/>
                <w:webHidden/>
              </w:rPr>
              <w:instrText xml:space="preserve"> PAGEREF _Toc197441900 \h </w:instrText>
            </w:r>
            <w:r w:rsidR="001B3144">
              <w:rPr>
                <w:noProof/>
                <w:webHidden/>
              </w:rPr>
            </w:r>
            <w:r w:rsidR="001B3144">
              <w:rPr>
                <w:noProof/>
                <w:webHidden/>
              </w:rPr>
              <w:fldChar w:fldCharType="separate"/>
            </w:r>
            <w:r w:rsidR="003026E1">
              <w:rPr>
                <w:noProof/>
                <w:webHidden/>
              </w:rPr>
              <w:t>1</w:t>
            </w:r>
            <w:r w:rsidR="001B3144">
              <w:rPr>
                <w:noProof/>
                <w:webHidden/>
              </w:rPr>
              <w:fldChar w:fldCharType="end"/>
            </w:r>
          </w:hyperlink>
        </w:p>
        <w:p w14:paraId="1223EBD9" w14:textId="2D56D938"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01" w:history="1">
            <w:r w:rsidRPr="00A712B1">
              <w:rPr>
                <w:rStyle w:val="Hyperlink"/>
                <w:noProof/>
              </w:rPr>
              <w:t>SECTION 2 – INTRODUCTION</w:t>
            </w:r>
            <w:r>
              <w:rPr>
                <w:noProof/>
                <w:webHidden/>
              </w:rPr>
              <w:tab/>
            </w:r>
            <w:r>
              <w:rPr>
                <w:noProof/>
                <w:webHidden/>
              </w:rPr>
              <w:fldChar w:fldCharType="begin"/>
            </w:r>
            <w:r>
              <w:rPr>
                <w:noProof/>
                <w:webHidden/>
              </w:rPr>
              <w:instrText xml:space="preserve"> PAGEREF _Toc197441901 \h </w:instrText>
            </w:r>
            <w:r>
              <w:rPr>
                <w:noProof/>
                <w:webHidden/>
              </w:rPr>
            </w:r>
            <w:r>
              <w:rPr>
                <w:noProof/>
                <w:webHidden/>
              </w:rPr>
              <w:fldChar w:fldCharType="separate"/>
            </w:r>
            <w:r w:rsidR="003026E1">
              <w:rPr>
                <w:noProof/>
                <w:webHidden/>
              </w:rPr>
              <w:t>2</w:t>
            </w:r>
            <w:r>
              <w:rPr>
                <w:noProof/>
                <w:webHidden/>
              </w:rPr>
              <w:fldChar w:fldCharType="end"/>
            </w:r>
          </w:hyperlink>
        </w:p>
        <w:p w14:paraId="071BAE9D" w14:textId="337C70C1"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02" w:history="1">
            <w:r w:rsidRPr="00A712B1">
              <w:rPr>
                <w:rStyle w:val="Hyperlink"/>
                <w:noProof/>
              </w:rPr>
              <w:t>SECTION 3 – INTRODUCTION TO THE TRUST</w:t>
            </w:r>
            <w:r>
              <w:rPr>
                <w:noProof/>
                <w:webHidden/>
              </w:rPr>
              <w:tab/>
            </w:r>
            <w:r>
              <w:rPr>
                <w:noProof/>
                <w:webHidden/>
              </w:rPr>
              <w:fldChar w:fldCharType="begin"/>
            </w:r>
            <w:r>
              <w:rPr>
                <w:noProof/>
                <w:webHidden/>
              </w:rPr>
              <w:instrText xml:space="preserve"> PAGEREF _Toc197441902 \h </w:instrText>
            </w:r>
            <w:r>
              <w:rPr>
                <w:noProof/>
                <w:webHidden/>
              </w:rPr>
            </w:r>
            <w:r>
              <w:rPr>
                <w:noProof/>
                <w:webHidden/>
              </w:rPr>
              <w:fldChar w:fldCharType="separate"/>
            </w:r>
            <w:r w:rsidR="003026E1">
              <w:rPr>
                <w:noProof/>
                <w:webHidden/>
              </w:rPr>
              <w:t>3</w:t>
            </w:r>
            <w:r>
              <w:rPr>
                <w:noProof/>
                <w:webHidden/>
              </w:rPr>
              <w:fldChar w:fldCharType="end"/>
            </w:r>
          </w:hyperlink>
        </w:p>
        <w:p w14:paraId="4C067B26" w14:textId="04680CB3"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03" w:history="1">
            <w:r w:rsidRPr="00A712B1">
              <w:rPr>
                <w:rStyle w:val="Hyperlink"/>
                <w:noProof/>
              </w:rPr>
              <w:t>SECTION 4 – OVERVIEW OF THE TRUST’s REQUIREMENT</w:t>
            </w:r>
            <w:r>
              <w:rPr>
                <w:noProof/>
                <w:webHidden/>
              </w:rPr>
              <w:tab/>
            </w:r>
            <w:r>
              <w:rPr>
                <w:noProof/>
                <w:webHidden/>
              </w:rPr>
              <w:fldChar w:fldCharType="begin"/>
            </w:r>
            <w:r>
              <w:rPr>
                <w:noProof/>
                <w:webHidden/>
              </w:rPr>
              <w:instrText xml:space="preserve"> PAGEREF _Toc197441903 \h </w:instrText>
            </w:r>
            <w:r>
              <w:rPr>
                <w:noProof/>
                <w:webHidden/>
              </w:rPr>
            </w:r>
            <w:r>
              <w:rPr>
                <w:noProof/>
                <w:webHidden/>
              </w:rPr>
              <w:fldChar w:fldCharType="separate"/>
            </w:r>
            <w:r w:rsidR="003026E1">
              <w:rPr>
                <w:noProof/>
                <w:webHidden/>
              </w:rPr>
              <w:t>4</w:t>
            </w:r>
            <w:r>
              <w:rPr>
                <w:noProof/>
                <w:webHidden/>
              </w:rPr>
              <w:fldChar w:fldCharType="end"/>
            </w:r>
          </w:hyperlink>
        </w:p>
        <w:p w14:paraId="2FAF50E6" w14:textId="1303E87C"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04" w:history="1">
            <w:r w:rsidRPr="00A712B1">
              <w:rPr>
                <w:rStyle w:val="Hyperlink"/>
                <w:noProof/>
              </w:rPr>
              <w:t>SECTION 5 – THE PROCUREMENT PROCESS</w:t>
            </w:r>
            <w:r>
              <w:rPr>
                <w:noProof/>
                <w:webHidden/>
              </w:rPr>
              <w:tab/>
            </w:r>
            <w:r>
              <w:rPr>
                <w:noProof/>
                <w:webHidden/>
              </w:rPr>
              <w:fldChar w:fldCharType="begin"/>
            </w:r>
            <w:r>
              <w:rPr>
                <w:noProof/>
                <w:webHidden/>
              </w:rPr>
              <w:instrText xml:space="preserve"> PAGEREF _Toc197441904 \h </w:instrText>
            </w:r>
            <w:r>
              <w:rPr>
                <w:noProof/>
                <w:webHidden/>
              </w:rPr>
            </w:r>
            <w:r>
              <w:rPr>
                <w:noProof/>
                <w:webHidden/>
              </w:rPr>
              <w:fldChar w:fldCharType="separate"/>
            </w:r>
            <w:r w:rsidR="003026E1">
              <w:rPr>
                <w:noProof/>
                <w:webHidden/>
              </w:rPr>
              <w:t>6</w:t>
            </w:r>
            <w:r>
              <w:rPr>
                <w:noProof/>
                <w:webHidden/>
              </w:rPr>
              <w:fldChar w:fldCharType="end"/>
            </w:r>
          </w:hyperlink>
        </w:p>
        <w:p w14:paraId="73BF5733" w14:textId="0292B5D7"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05" w:history="1">
            <w:r w:rsidRPr="00A712B1">
              <w:rPr>
                <w:rStyle w:val="Hyperlink"/>
                <w:noProof/>
              </w:rPr>
              <w:t>SECTION 6 – PROCUREMENT TIMETABLE</w:t>
            </w:r>
            <w:r>
              <w:rPr>
                <w:noProof/>
                <w:webHidden/>
              </w:rPr>
              <w:tab/>
            </w:r>
            <w:r>
              <w:rPr>
                <w:noProof/>
                <w:webHidden/>
              </w:rPr>
              <w:fldChar w:fldCharType="begin"/>
            </w:r>
            <w:r>
              <w:rPr>
                <w:noProof/>
                <w:webHidden/>
              </w:rPr>
              <w:instrText xml:space="preserve"> PAGEREF _Toc197441905 \h </w:instrText>
            </w:r>
            <w:r>
              <w:rPr>
                <w:noProof/>
                <w:webHidden/>
              </w:rPr>
            </w:r>
            <w:r>
              <w:rPr>
                <w:noProof/>
                <w:webHidden/>
              </w:rPr>
              <w:fldChar w:fldCharType="separate"/>
            </w:r>
            <w:r w:rsidR="003026E1">
              <w:rPr>
                <w:noProof/>
                <w:webHidden/>
              </w:rPr>
              <w:t>8</w:t>
            </w:r>
            <w:r>
              <w:rPr>
                <w:noProof/>
                <w:webHidden/>
              </w:rPr>
              <w:fldChar w:fldCharType="end"/>
            </w:r>
          </w:hyperlink>
        </w:p>
        <w:p w14:paraId="0E8142F4" w14:textId="029DFF09"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06" w:history="1">
            <w:r w:rsidRPr="00A712B1">
              <w:rPr>
                <w:rStyle w:val="Hyperlink"/>
                <w:noProof/>
              </w:rPr>
              <w:t>SECTION 7 – CONTRACT TERMS</w:t>
            </w:r>
            <w:r>
              <w:rPr>
                <w:noProof/>
                <w:webHidden/>
              </w:rPr>
              <w:tab/>
            </w:r>
            <w:r>
              <w:rPr>
                <w:noProof/>
                <w:webHidden/>
              </w:rPr>
              <w:fldChar w:fldCharType="begin"/>
            </w:r>
            <w:r>
              <w:rPr>
                <w:noProof/>
                <w:webHidden/>
              </w:rPr>
              <w:instrText xml:space="preserve"> PAGEREF _Toc197441906 \h </w:instrText>
            </w:r>
            <w:r>
              <w:rPr>
                <w:noProof/>
                <w:webHidden/>
              </w:rPr>
            </w:r>
            <w:r>
              <w:rPr>
                <w:noProof/>
                <w:webHidden/>
              </w:rPr>
              <w:fldChar w:fldCharType="separate"/>
            </w:r>
            <w:r w:rsidR="003026E1">
              <w:rPr>
                <w:noProof/>
                <w:webHidden/>
              </w:rPr>
              <w:t>9</w:t>
            </w:r>
            <w:r>
              <w:rPr>
                <w:noProof/>
                <w:webHidden/>
              </w:rPr>
              <w:fldChar w:fldCharType="end"/>
            </w:r>
          </w:hyperlink>
        </w:p>
        <w:p w14:paraId="0FF25533" w14:textId="7895ACFB"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07" w:history="1">
            <w:r w:rsidRPr="00A712B1">
              <w:rPr>
                <w:rStyle w:val="Hyperlink"/>
                <w:noProof/>
              </w:rPr>
              <w:t>SECTION 8 – HOW TO RESPOND TO THIS OPPORTUNITY</w:t>
            </w:r>
            <w:r>
              <w:rPr>
                <w:noProof/>
                <w:webHidden/>
              </w:rPr>
              <w:tab/>
            </w:r>
            <w:r>
              <w:rPr>
                <w:noProof/>
                <w:webHidden/>
              </w:rPr>
              <w:fldChar w:fldCharType="begin"/>
            </w:r>
            <w:r>
              <w:rPr>
                <w:noProof/>
                <w:webHidden/>
              </w:rPr>
              <w:instrText xml:space="preserve"> PAGEREF _Toc197441907 \h </w:instrText>
            </w:r>
            <w:r>
              <w:rPr>
                <w:noProof/>
                <w:webHidden/>
              </w:rPr>
            </w:r>
            <w:r>
              <w:rPr>
                <w:noProof/>
                <w:webHidden/>
              </w:rPr>
              <w:fldChar w:fldCharType="separate"/>
            </w:r>
            <w:r w:rsidR="003026E1">
              <w:rPr>
                <w:noProof/>
                <w:webHidden/>
              </w:rPr>
              <w:t>10</w:t>
            </w:r>
            <w:r>
              <w:rPr>
                <w:noProof/>
                <w:webHidden/>
              </w:rPr>
              <w:fldChar w:fldCharType="end"/>
            </w:r>
          </w:hyperlink>
        </w:p>
        <w:p w14:paraId="5EBB2EBD" w14:textId="014C8EB6"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08" w:history="1">
            <w:r w:rsidRPr="00A712B1">
              <w:rPr>
                <w:rStyle w:val="Hyperlink"/>
                <w:noProof/>
              </w:rPr>
              <w:t>SECTION 9 – REQUESTS FOR CLARIFCATION</w:t>
            </w:r>
            <w:r>
              <w:rPr>
                <w:noProof/>
                <w:webHidden/>
              </w:rPr>
              <w:tab/>
            </w:r>
            <w:r>
              <w:rPr>
                <w:noProof/>
                <w:webHidden/>
              </w:rPr>
              <w:fldChar w:fldCharType="begin"/>
            </w:r>
            <w:r>
              <w:rPr>
                <w:noProof/>
                <w:webHidden/>
              </w:rPr>
              <w:instrText xml:space="preserve"> PAGEREF _Toc197441908 \h </w:instrText>
            </w:r>
            <w:r>
              <w:rPr>
                <w:noProof/>
                <w:webHidden/>
              </w:rPr>
            </w:r>
            <w:r>
              <w:rPr>
                <w:noProof/>
                <w:webHidden/>
              </w:rPr>
              <w:fldChar w:fldCharType="separate"/>
            </w:r>
            <w:r w:rsidR="003026E1">
              <w:rPr>
                <w:noProof/>
                <w:webHidden/>
              </w:rPr>
              <w:t>13</w:t>
            </w:r>
            <w:r>
              <w:rPr>
                <w:noProof/>
                <w:webHidden/>
              </w:rPr>
              <w:fldChar w:fldCharType="end"/>
            </w:r>
          </w:hyperlink>
        </w:p>
        <w:p w14:paraId="4DFCDEC1" w14:textId="6182838F"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09" w:history="1">
            <w:r w:rsidRPr="00A712B1">
              <w:rPr>
                <w:rStyle w:val="Hyperlink"/>
                <w:noProof/>
              </w:rPr>
              <w:t>SECTION 10 – THE ASSESSMENT PROCESS AND AWARD CRITERIA</w:t>
            </w:r>
            <w:r>
              <w:rPr>
                <w:noProof/>
                <w:webHidden/>
              </w:rPr>
              <w:tab/>
            </w:r>
            <w:r>
              <w:rPr>
                <w:noProof/>
                <w:webHidden/>
              </w:rPr>
              <w:fldChar w:fldCharType="begin"/>
            </w:r>
            <w:r>
              <w:rPr>
                <w:noProof/>
                <w:webHidden/>
              </w:rPr>
              <w:instrText xml:space="preserve"> PAGEREF _Toc197441909 \h </w:instrText>
            </w:r>
            <w:r>
              <w:rPr>
                <w:noProof/>
                <w:webHidden/>
              </w:rPr>
            </w:r>
            <w:r>
              <w:rPr>
                <w:noProof/>
                <w:webHidden/>
              </w:rPr>
              <w:fldChar w:fldCharType="separate"/>
            </w:r>
            <w:r w:rsidR="003026E1">
              <w:rPr>
                <w:noProof/>
                <w:webHidden/>
              </w:rPr>
              <w:t>14</w:t>
            </w:r>
            <w:r>
              <w:rPr>
                <w:noProof/>
                <w:webHidden/>
              </w:rPr>
              <w:fldChar w:fldCharType="end"/>
            </w:r>
          </w:hyperlink>
        </w:p>
        <w:p w14:paraId="78FA60A3" w14:textId="340E006B"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10" w:history="1">
            <w:r w:rsidRPr="00A712B1">
              <w:rPr>
                <w:rStyle w:val="Hyperlink"/>
                <w:noProof/>
              </w:rPr>
              <w:t>APPENDIX A – PROCUREMENT TERMS AND CONDITIONS</w:t>
            </w:r>
            <w:r>
              <w:rPr>
                <w:noProof/>
                <w:webHidden/>
              </w:rPr>
              <w:tab/>
            </w:r>
            <w:r>
              <w:rPr>
                <w:noProof/>
                <w:webHidden/>
              </w:rPr>
              <w:fldChar w:fldCharType="begin"/>
            </w:r>
            <w:r>
              <w:rPr>
                <w:noProof/>
                <w:webHidden/>
              </w:rPr>
              <w:instrText xml:space="preserve"> PAGEREF _Toc197441910 \h </w:instrText>
            </w:r>
            <w:r>
              <w:rPr>
                <w:noProof/>
                <w:webHidden/>
              </w:rPr>
            </w:r>
            <w:r>
              <w:rPr>
                <w:noProof/>
                <w:webHidden/>
              </w:rPr>
              <w:fldChar w:fldCharType="separate"/>
            </w:r>
            <w:r w:rsidR="003026E1">
              <w:rPr>
                <w:noProof/>
                <w:webHidden/>
              </w:rPr>
              <w:t>21</w:t>
            </w:r>
            <w:r>
              <w:rPr>
                <w:noProof/>
                <w:webHidden/>
              </w:rPr>
              <w:fldChar w:fldCharType="end"/>
            </w:r>
          </w:hyperlink>
        </w:p>
        <w:p w14:paraId="385A34D7" w14:textId="71EE4045"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11" w:history="1">
            <w:r w:rsidRPr="00A712B1">
              <w:rPr>
                <w:rStyle w:val="Hyperlink"/>
                <w:noProof/>
              </w:rPr>
              <w:t>APPENDIX B – SERVICE SPECIFICATION</w:t>
            </w:r>
            <w:r>
              <w:rPr>
                <w:noProof/>
                <w:webHidden/>
              </w:rPr>
              <w:tab/>
            </w:r>
            <w:r>
              <w:rPr>
                <w:noProof/>
                <w:webHidden/>
              </w:rPr>
              <w:fldChar w:fldCharType="begin"/>
            </w:r>
            <w:r>
              <w:rPr>
                <w:noProof/>
                <w:webHidden/>
              </w:rPr>
              <w:instrText xml:space="preserve"> PAGEREF _Toc197441911 \h </w:instrText>
            </w:r>
            <w:r>
              <w:rPr>
                <w:noProof/>
                <w:webHidden/>
              </w:rPr>
            </w:r>
            <w:r>
              <w:rPr>
                <w:noProof/>
                <w:webHidden/>
              </w:rPr>
              <w:fldChar w:fldCharType="separate"/>
            </w:r>
            <w:r w:rsidR="003026E1">
              <w:rPr>
                <w:noProof/>
                <w:webHidden/>
              </w:rPr>
              <w:t>29</w:t>
            </w:r>
            <w:r>
              <w:rPr>
                <w:noProof/>
                <w:webHidden/>
              </w:rPr>
              <w:fldChar w:fldCharType="end"/>
            </w:r>
          </w:hyperlink>
        </w:p>
        <w:p w14:paraId="77A9FE09" w14:textId="02E8C286"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12" w:history="1">
            <w:r w:rsidRPr="00A712B1">
              <w:rPr>
                <w:rStyle w:val="Hyperlink"/>
                <w:noProof/>
              </w:rPr>
              <w:t>APPENDIX C – PROCUREMENT SPECIFIC QUESTIONNAIRE</w:t>
            </w:r>
            <w:r>
              <w:rPr>
                <w:noProof/>
                <w:webHidden/>
              </w:rPr>
              <w:tab/>
            </w:r>
            <w:r>
              <w:rPr>
                <w:noProof/>
                <w:webHidden/>
              </w:rPr>
              <w:fldChar w:fldCharType="begin"/>
            </w:r>
            <w:r>
              <w:rPr>
                <w:noProof/>
                <w:webHidden/>
              </w:rPr>
              <w:instrText xml:space="preserve"> PAGEREF _Toc197441912 \h </w:instrText>
            </w:r>
            <w:r>
              <w:rPr>
                <w:noProof/>
                <w:webHidden/>
              </w:rPr>
            </w:r>
            <w:r>
              <w:rPr>
                <w:noProof/>
                <w:webHidden/>
              </w:rPr>
              <w:fldChar w:fldCharType="separate"/>
            </w:r>
            <w:r w:rsidR="003026E1">
              <w:rPr>
                <w:noProof/>
                <w:webHidden/>
              </w:rPr>
              <w:t>37</w:t>
            </w:r>
            <w:r>
              <w:rPr>
                <w:noProof/>
                <w:webHidden/>
              </w:rPr>
              <w:fldChar w:fldCharType="end"/>
            </w:r>
          </w:hyperlink>
        </w:p>
        <w:p w14:paraId="4F83889E" w14:textId="3232A3DF"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13" w:history="1">
            <w:r w:rsidRPr="00A712B1">
              <w:rPr>
                <w:rStyle w:val="Hyperlink"/>
                <w:noProof/>
              </w:rPr>
              <w:t>APPENDIX D – GLOSSARY</w:t>
            </w:r>
            <w:r>
              <w:rPr>
                <w:noProof/>
                <w:webHidden/>
              </w:rPr>
              <w:tab/>
            </w:r>
            <w:r>
              <w:rPr>
                <w:noProof/>
                <w:webHidden/>
              </w:rPr>
              <w:fldChar w:fldCharType="begin"/>
            </w:r>
            <w:r>
              <w:rPr>
                <w:noProof/>
                <w:webHidden/>
              </w:rPr>
              <w:instrText xml:space="preserve"> PAGEREF _Toc197441913 \h </w:instrText>
            </w:r>
            <w:r>
              <w:rPr>
                <w:noProof/>
                <w:webHidden/>
              </w:rPr>
            </w:r>
            <w:r>
              <w:rPr>
                <w:noProof/>
                <w:webHidden/>
              </w:rPr>
              <w:fldChar w:fldCharType="separate"/>
            </w:r>
            <w:r w:rsidR="003026E1">
              <w:rPr>
                <w:noProof/>
                <w:webHidden/>
              </w:rPr>
              <w:t>46</w:t>
            </w:r>
            <w:r>
              <w:rPr>
                <w:noProof/>
                <w:webHidden/>
              </w:rPr>
              <w:fldChar w:fldCharType="end"/>
            </w:r>
          </w:hyperlink>
        </w:p>
        <w:p w14:paraId="041CFE3A" w14:textId="3E4A989D" w:rsidR="001B3144" w:rsidRDefault="001B3144">
          <w:pPr>
            <w:pStyle w:val="TOC1"/>
            <w:rPr>
              <w:rFonts w:asciiTheme="minorHAnsi" w:eastAsiaTheme="minorEastAsia" w:hAnsiTheme="minorHAnsi" w:cstheme="minorBidi"/>
              <w:caps w:val="0"/>
              <w:noProof/>
              <w:kern w:val="2"/>
              <w:sz w:val="24"/>
              <w:szCs w:val="24"/>
              <w14:ligatures w14:val="standardContextual"/>
            </w:rPr>
          </w:pPr>
          <w:hyperlink w:anchor="_Toc197441914" w:history="1">
            <w:r w:rsidRPr="00A712B1">
              <w:rPr>
                <w:rStyle w:val="Hyperlink"/>
                <w:noProof/>
              </w:rPr>
              <w:t>APPENDIX E – FORM OF TENDER</w:t>
            </w:r>
            <w:r>
              <w:rPr>
                <w:noProof/>
                <w:webHidden/>
              </w:rPr>
              <w:tab/>
            </w:r>
            <w:r>
              <w:rPr>
                <w:noProof/>
                <w:webHidden/>
              </w:rPr>
              <w:fldChar w:fldCharType="begin"/>
            </w:r>
            <w:r>
              <w:rPr>
                <w:noProof/>
                <w:webHidden/>
              </w:rPr>
              <w:instrText xml:space="preserve"> PAGEREF _Toc197441914 \h </w:instrText>
            </w:r>
            <w:r>
              <w:rPr>
                <w:noProof/>
                <w:webHidden/>
              </w:rPr>
            </w:r>
            <w:r>
              <w:rPr>
                <w:noProof/>
                <w:webHidden/>
              </w:rPr>
              <w:fldChar w:fldCharType="separate"/>
            </w:r>
            <w:r w:rsidR="003026E1">
              <w:rPr>
                <w:noProof/>
                <w:webHidden/>
              </w:rPr>
              <w:t>49</w:t>
            </w:r>
            <w:r>
              <w:rPr>
                <w:noProof/>
                <w:webHidden/>
              </w:rPr>
              <w:fldChar w:fldCharType="end"/>
            </w:r>
          </w:hyperlink>
        </w:p>
        <w:p w14:paraId="6751AEF7" w14:textId="415490B3" w:rsidR="001B3144" w:rsidRDefault="001B3144">
          <w:pPr>
            <w:pStyle w:val="TOC1"/>
            <w:rPr>
              <w:noProof/>
            </w:rPr>
          </w:pPr>
          <w:hyperlink w:anchor="_Toc197441915" w:history="1">
            <w:r w:rsidRPr="00A712B1">
              <w:rPr>
                <w:rStyle w:val="Hyperlink"/>
                <w:noProof/>
              </w:rPr>
              <w:t>APPENDIX F – COMMERICALLY SENSITIVE INFORMATION</w:t>
            </w:r>
            <w:r>
              <w:rPr>
                <w:noProof/>
                <w:webHidden/>
              </w:rPr>
              <w:tab/>
            </w:r>
            <w:r>
              <w:rPr>
                <w:noProof/>
                <w:webHidden/>
              </w:rPr>
              <w:fldChar w:fldCharType="begin"/>
            </w:r>
            <w:r>
              <w:rPr>
                <w:noProof/>
                <w:webHidden/>
              </w:rPr>
              <w:instrText xml:space="preserve"> PAGEREF _Toc197441915 \h </w:instrText>
            </w:r>
            <w:r>
              <w:rPr>
                <w:noProof/>
                <w:webHidden/>
              </w:rPr>
            </w:r>
            <w:r>
              <w:rPr>
                <w:noProof/>
                <w:webHidden/>
              </w:rPr>
              <w:fldChar w:fldCharType="separate"/>
            </w:r>
            <w:r w:rsidR="003026E1">
              <w:rPr>
                <w:noProof/>
                <w:webHidden/>
              </w:rPr>
              <w:t>51</w:t>
            </w:r>
            <w:r>
              <w:rPr>
                <w:noProof/>
                <w:webHidden/>
              </w:rPr>
              <w:fldChar w:fldCharType="end"/>
            </w:r>
          </w:hyperlink>
        </w:p>
        <w:p w14:paraId="417DE52B" w14:textId="77777777" w:rsidR="00C42062" w:rsidRDefault="00C42062" w:rsidP="00C42062">
          <w:pPr>
            <w:rPr>
              <w:noProof/>
            </w:rPr>
          </w:pPr>
        </w:p>
        <w:p w14:paraId="054C8224" w14:textId="362BE4E5" w:rsidR="00C42062" w:rsidRPr="00C42062" w:rsidRDefault="002E20AF" w:rsidP="002A46D1">
          <w:pPr>
            <w:ind w:right="-281"/>
            <w:rPr>
              <w:noProof/>
            </w:rPr>
          </w:pPr>
          <w:r>
            <w:rPr>
              <w:noProof/>
            </w:rPr>
            <w:t xml:space="preserve">APPENDIX G </w:t>
          </w:r>
          <w:r w:rsidRPr="002E20AF">
            <w:rPr>
              <w:noProof/>
            </w:rPr>
            <w:t>–</w:t>
          </w:r>
          <w:r>
            <w:rPr>
              <w:noProof/>
            </w:rPr>
            <w:t xml:space="preserve"> </w:t>
          </w:r>
          <w:r w:rsidR="00D43857">
            <w:rPr>
              <w:noProof/>
            </w:rPr>
            <w:t>RATE CARD</w:t>
          </w:r>
          <w:r w:rsidR="00177466">
            <w:rPr>
              <w:noProof/>
            </w:rPr>
            <w:t xml:space="preserve"> TEMPLATE FOR COMMERCIAL EVALUATION………………</w:t>
          </w:r>
          <w:r w:rsidR="002A46D1">
            <w:rPr>
              <w:noProof/>
            </w:rPr>
            <w:t>..</w:t>
          </w:r>
          <w:r w:rsidR="0091734E">
            <w:rPr>
              <w:noProof/>
            </w:rPr>
            <w:t>.</w:t>
          </w:r>
          <w:r w:rsidR="003026E1">
            <w:rPr>
              <w:noProof/>
            </w:rPr>
            <w:t>52</w:t>
          </w:r>
        </w:p>
        <w:p w14:paraId="17C1228F" w14:textId="43B226E7" w:rsidR="00980191" w:rsidRDefault="00980191" w:rsidP="00980191">
          <w:r>
            <w:rPr>
              <w:b/>
              <w:bCs/>
            </w:rPr>
            <w:fldChar w:fldCharType="end"/>
          </w:r>
        </w:p>
      </w:sdtContent>
    </w:sdt>
    <w:p w14:paraId="68B688CB" w14:textId="77777777" w:rsidR="00E5488A" w:rsidRDefault="00E5488A" w:rsidP="00E5488A">
      <w:pPr>
        <w:tabs>
          <w:tab w:val="center" w:pos="4253"/>
          <w:tab w:val="right" w:pos="8505"/>
        </w:tabs>
        <w:jc w:val="both"/>
        <w:rPr>
          <w:rFonts w:eastAsia="Arial" w:cs="Arial"/>
          <w:b/>
        </w:rPr>
      </w:pPr>
    </w:p>
    <w:p w14:paraId="5514A518" w14:textId="77777777" w:rsidR="00E5488A" w:rsidRPr="00E5488A" w:rsidRDefault="00E5488A" w:rsidP="00E5488A">
      <w:pPr>
        <w:jc w:val="both"/>
        <w:rPr>
          <w:rFonts w:eastAsia="Arial" w:cs="Arial"/>
        </w:rPr>
      </w:pPr>
    </w:p>
    <w:p w14:paraId="140E7DC9" w14:textId="77777777" w:rsidR="00E5488A" w:rsidRPr="00E5488A" w:rsidRDefault="00E5488A" w:rsidP="00E5488A">
      <w:pPr>
        <w:jc w:val="both"/>
        <w:rPr>
          <w:rFonts w:eastAsia="Arial" w:cs="Arial"/>
        </w:rPr>
      </w:pPr>
    </w:p>
    <w:p w14:paraId="0AFC495C" w14:textId="77777777" w:rsidR="00E5488A" w:rsidRPr="00E5488A" w:rsidRDefault="00E5488A" w:rsidP="00E5488A">
      <w:pPr>
        <w:jc w:val="both"/>
        <w:rPr>
          <w:rFonts w:eastAsia="Arial" w:cs="Arial"/>
        </w:rPr>
      </w:pPr>
    </w:p>
    <w:p w14:paraId="0B9710E3" w14:textId="77777777" w:rsidR="00E5488A" w:rsidRPr="00E5488A" w:rsidRDefault="00E5488A" w:rsidP="00E5488A">
      <w:pPr>
        <w:adjustRightInd/>
        <w:rPr>
          <w:rFonts w:eastAsia="Arial" w:cs="Arial"/>
          <w:b/>
          <w:u w:val="single"/>
        </w:rPr>
        <w:sectPr w:rsidR="00E5488A" w:rsidRPr="00E5488A" w:rsidSect="00E5488A">
          <w:footerReference w:type="default" r:id="rId11"/>
          <w:pgSz w:w="11906" w:h="16838"/>
          <w:pgMar w:top="1440" w:right="1699" w:bottom="1440" w:left="1699" w:header="720" w:footer="720" w:gutter="0"/>
          <w:paperSrc w:first="264" w:other="264"/>
          <w:pgNumType w:start="1"/>
          <w:cols w:space="720"/>
        </w:sectPr>
      </w:pPr>
    </w:p>
    <w:p w14:paraId="5351D161" w14:textId="1083174E" w:rsidR="00E5488A" w:rsidRPr="00E5488A" w:rsidRDefault="00A86070" w:rsidP="00E5488A">
      <w:pPr>
        <w:pStyle w:val="Level1Heading"/>
        <w:numPr>
          <w:ilvl w:val="0"/>
          <w:numId w:val="0"/>
        </w:numPr>
        <w:ind w:left="720"/>
        <w:jc w:val="center"/>
      </w:pPr>
      <w:bookmarkStart w:id="0" w:name="_Toc197441900"/>
      <w:bookmarkStart w:id="1" w:name="_Ref490821916"/>
      <w:r>
        <w:lastRenderedPageBreak/>
        <w:t>S</w:t>
      </w:r>
      <w:r w:rsidR="00E5488A">
        <w:t>ECTION</w:t>
      </w:r>
      <w:r w:rsidR="00E5488A" w:rsidRPr="00E5488A">
        <w:t xml:space="preserve"> 1 </w:t>
      </w:r>
      <w:r w:rsidR="00E5488A">
        <w:t>–</w:t>
      </w:r>
      <w:r w:rsidR="00E5488A" w:rsidRPr="00E5488A">
        <w:t xml:space="preserve"> </w:t>
      </w:r>
      <w:r w:rsidR="00E5488A">
        <w:t>DEADLINE FOR RESPONDING TO THIS DOCUMENT</w:t>
      </w:r>
      <w:bookmarkEnd w:id="0"/>
    </w:p>
    <w:p w14:paraId="494DAADB" w14:textId="28F2420E" w:rsidR="00E5488A" w:rsidRPr="00007DF0" w:rsidRDefault="004302E4" w:rsidP="00007DF0">
      <w:pPr>
        <w:pStyle w:val="Level1"/>
        <w:rPr>
          <w:b/>
          <w:bCs/>
        </w:rPr>
      </w:pPr>
      <w:r w:rsidRPr="00007DF0">
        <w:rPr>
          <w:b/>
          <w:bCs/>
        </w:rPr>
        <w:t>DEADLINE</w:t>
      </w:r>
    </w:p>
    <w:p w14:paraId="43A08048" w14:textId="706A88A2" w:rsidR="00E5488A" w:rsidRDefault="00E5488A" w:rsidP="00AF0DFE">
      <w:pPr>
        <w:numPr>
          <w:ilvl w:val="1"/>
          <w:numId w:val="16"/>
        </w:numPr>
        <w:spacing w:after="200"/>
        <w:jc w:val="both"/>
        <w:rPr>
          <w:rFonts w:eastAsia="Arial" w:cs="Arial"/>
        </w:rPr>
      </w:pPr>
      <w:r w:rsidRPr="00E5488A">
        <w:rPr>
          <w:rFonts w:eastAsia="Arial" w:cs="Arial"/>
        </w:rPr>
        <w:t xml:space="preserve">The </w:t>
      </w:r>
      <w:r w:rsidR="004302E4">
        <w:rPr>
          <w:rFonts w:eastAsia="Arial" w:cs="Arial"/>
        </w:rPr>
        <w:t xml:space="preserve">deadline for responding to this </w:t>
      </w:r>
      <w:r w:rsidR="000959A1" w:rsidRPr="000959A1">
        <w:rPr>
          <w:rFonts w:eastAsia="Arial" w:cs="Arial"/>
          <w:b/>
          <w:bCs/>
        </w:rPr>
        <w:t>Closed Framework for Research and Evaluation</w:t>
      </w:r>
      <w:r w:rsidR="000959A1" w:rsidRPr="000959A1">
        <w:rPr>
          <w:rFonts w:eastAsia="Arial" w:cs="Arial"/>
        </w:rPr>
        <w:t xml:space="preserve"> </w:t>
      </w:r>
      <w:r w:rsidR="000959A1" w:rsidRPr="00A06C92">
        <w:rPr>
          <w:rFonts w:eastAsia="Arial" w:cs="Arial"/>
          <w:b/>
          <w:bCs/>
        </w:rPr>
        <w:t>Services</w:t>
      </w:r>
      <w:r w:rsidR="004302E4">
        <w:rPr>
          <w:rFonts w:eastAsia="Arial" w:cs="Arial"/>
        </w:rPr>
        <w:t xml:space="preserve"> is </w:t>
      </w:r>
      <w:r w:rsidR="008834A4">
        <w:rPr>
          <w:rFonts w:eastAsia="Arial" w:cs="Arial"/>
        </w:rPr>
        <w:t>12pm 23</w:t>
      </w:r>
      <w:r w:rsidR="00693C26">
        <w:rPr>
          <w:rFonts w:eastAsia="Arial" w:cs="Arial"/>
        </w:rPr>
        <w:t xml:space="preserve"> January 2026</w:t>
      </w:r>
      <w:r w:rsidR="004302E4">
        <w:rPr>
          <w:rFonts w:eastAsia="Arial" w:cs="Arial"/>
        </w:rPr>
        <w:t xml:space="preserve"> (the “</w:t>
      </w:r>
      <w:r w:rsidR="004302E4" w:rsidRPr="004302E4">
        <w:rPr>
          <w:rFonts w:eastAsia="Arial" w:cs="Arial"/>
          <w:b/>
          <w:bCs/>
        </w:rPr>
        <w:t>Tender</w:t>
      </w:r>
      <w:r w:rsidRPr="00E5488A">
        <w:rPr>
          <w:rFonts w:eastAsia="Arial" w:cs="Arial"/>
          <w:b/>
          <w:bCs/>
        </w:rPr>
        <w:t xml:space="preserve"> </w:t>
      </w:r>
      <w:r w:rsidR="004302E4" w:rsidRPr="004302E4">
        <w:rPr>
          <w:rFonts w:eastAsia="Arial" w:cs="Arial"/>
          <w:b/>
          <w:bCs/>
        </w:rPr>
        <w:t>Return Deadline</w:t>
      </w:r>
      <w:r w:rsidR="004302E4">
        <w:rPr>
          <w:rFonts w:eastAsia="Arial" w:cs="Arial"/>
        </w:rPr>
        <w:t>”). See Section 6 (Procurement Timetable) and Section 8 (How to respond to this opportunity) of this ITT for further information.</w:t>
      </w:r>
    </w:p>
    <w:p w14:paraId="4B4B553C" w14:textId="77777777" w:rsidR="004302E4" w:rsidRDefault="004302E4" w:rsidP="004302E4">
      <w:pPr>
        <w:spacing w:after="200"/>
        <w:jc w:val="both"/>
        <w:rPr>
          <w:rFonts w:eastAsia="Arial" w:cs="Arial"/>
        </w:rPr>
      </w:pPr>
    </w:p>
    <w:p w14:paraId="59FB9352" w14:textId="77777777" w:rsidR="004302E4" w:rsidRPr="004302E4" w:rsidRDefault="004302E4" w:rsidP="004302E4">
      <w:pPr>
        <w:rPr>
          <w:rFonts w:eastAsia="Arial" w:cs="Arial"/>
        </w:rPr>
      </w:pPr>
    </w:p>
    <w:p w14:paraId="4018568B" w14:textId="77777777" w:rsidR="004302E4" w:rsidRPr="004302E4" w:rsidRDefault="004302E4" w:rsidP="004302E4">
      <w:pPr>
        <w:rPr>
          <w:rFonts w:eastAsia="Arial" w:cs="Arial"/>
        </w:rPr>
      </w:pPr>
    </w:p>
    <w:p w14:paraId="6CFF772D" w14:textId="77777777" w:rsidR="004302E4" w:rsidRPr="004302E4" w:rsidRDefault="004302E4" w:rsidP="004302E4">
      <w:pPr>
        <w:rPr>
          <w:rFonts w:eastAsia="Arial" w:cs="Arial"/>
        </w:rPr>
      </w:pPr>
    </w:p>
    <w:p w14:paraId="55B56D2B" w14:textId="77777777" w:rsidR="004302E4" w:rsidRPr="004302E4" w:rsidRDefault="004302E4" w:rsidP="004302E4">
      <w:pPr>
        <w:rPr>
          <w:rFonts w:eastAsia="Arial" w:cs="Arial"/>
        </w:rPr>
      </w:pPr>
    </w:p>
    <w:p w14:paraId="601F9E2A" w14:textId="77777777" w:rsidR="004302E4" w:rsidRPr="004302E4" w:rsidRDefault="004302E4" w:rsidP="004302E4">
      <w:pPr>
        <w:rPr>
          <w:rFonts w:eastAsia="Arial" w:cs="Arial"/>
        </w:rPr>
      </w:pPr>
    </w:p>
    <w:p w14:paraId="7D4F14FB" w14:textId="77777777" w:rsidR="004302E4" w:rsidRPr="004302E4" w:rsidRDefault="004302E4" w:rsidP="004302E4">
      <w:pPr>
        <w:rPr>
          <w:rFonts w:eastAsia="Arial" w:cs="Arial"/>
        </w:rPr>
      </w:pPr>
    </w:p>
    <w:p w14:paraId="2F3A5510" w14:textId="77777777" w:rsidR="004302E4" w:rsidRPr="004302E4" w:rsidRDefault="004302E4" w:rsidP="004302E4">
      <w:pPr>
        <w:rPr>
          <w:rFonts w:eastAsia="Arial" w:cs="Arial"/>
        </w:rPr>
      </w:pPr>
    </w:p>
    <w:p w14:paraId="417830C8" w14:textId="77777777" w:rsidR="004302E4" w:rsidRPr="004302E4" w:rsidRDefault="004302E4" w:rsidP="004302E4">
      <w:pPr>
        <w:rPr>
          <w:rFonts w:eastAsia="Arial" w:cs="Arial"/>
        </w:rPr>
      </w:pPr>
    </w:p>
    <w:p w14:paraId="49570069" w14:textId="77777777" w:rsidR="004302E4" w:rsidRPr="004302E4" w:rsidRDefault="004302E4" w:rsidP="004302E4">
      <w:pPr>
        <w:rPr>
          <w:rFonts w:eastAsia="Arial" w:cs="Arial"/>
        </w:rPr>
      </w:pPr>
    </w:p>
    <w:p w14:paraId="0249BE80" w14:textId="77777777" w:rsidR="004302E4" w:rsidRPr="004302E4" w:rsidRDefault="004302E4" w:rsidP="004302E4">
      <w:pPr>
        <w:rPr>
          <w:rFonts w:eastAsia="Arial" w:cs="Arial"/>
        </w:rPr>
      </w:pPr>
    </w:p>
    <w:p w14:paraId="2F8FFC8C" w14:textId="77777777" w:rsidR="004302E4" w:rsidRPr="004302E4" w:rsidRDefault="004302E4" w:rsidP="004302E4">
      <w:pPr>
        <w:rPr>
          <w:rFonts w:eastAsia="Arial" w:cs="Arial"/>
        </w:rPr>
      </w:pPr>
    </w:p>
    <w:p w14:paraId="25A09D97" w14:textId="77777777" w:rsidR="004302E4" w:rsidRPr="004302E4" w:rsidRDefault="004302E4" w:rsidP="004302E4">
      <w:pPr>
        <w:rPr>
          <w:rFonts w:eastAsia="Arial" w:cs="Arial"/>
        </w:rPr>
      </w:pPr>
    </w:p>
    <w:p w14:paraId="77E1323F" w14:textId="77777777" w:rsidR="004302E4" w:rsidRPr="004302E4" w:rsidRDefault="004302E4" w:rsidP="004302E4">
      <w:pPr>
        <w:rPr>
          <w:rFonts w:eastAsia="Arial" w:cs="Arial"/>
        </w:rPr>
      </w:pPr>
    </w:p>
    <w:p w14:paraId="74534EB9" w14:textId="77777777" w:rsidR="004302E4" w:rsidRPr="004302E4" w:rsidRDefault="004302E4" w:rsidP="004302E4">
      <w:pPr>
        <w:rPr>
          <w:rFonts w:eastAsia="Arial" w:cs="Arial"/>
        </w:rPr>
      </w:pPr>
    </w:p>
    <w:p w14:paraId="07F253CC" w14:textId="77777777" w:rsidR="004302E4" w:rsidRPr="004302E4" w:rsidRDefault="004302E4" w:rsidP="004302E4">
      <w:pPr>
        <w:rPr>
          <w:rFonts w:eastAsia="Arial" w:cs="Arial"/>
        </w:rPr>
      </w:pPr>
    </w:p>
    <w:p w14:paraId="752844BE" w14:textId="77777777" w:rsidR="004302E4" w:rsidRPr="004302E4" w:rsidRDefault="004302E4" w:rsidP="004302E4">
      <w:pPr>
        <w:rPr>
          <w:rFonts w:eastAsia="Arial" w:cs="Arial"/>
        </w:rPr>
      </w:pPr>
    </w:p>
    <w:p w14:paraId="12612DAB" w14:textId="77777777" w:rsidR="004302E4" w:rsidRDefault="004302E4" w:rsidP="004302E4">
      <w:pPr>
        <w:rPr>
          <w:rFonts w:eastAsia="Arial" w:cs="Arial"/>
        </w:rPr>
      </w:pPr>
    </w:p>
    <w:p w14:paraId="67DE9BA4" w14:textId="77777777" w:rsidR="004302E4" w:rsidRDefault="004302E4" w:rsidP="004302E4">
      <w:pPr>
        <w:rPr>
          <w:rFonts w:eastAsia="Arial" w:cs="Arial"/>
        </w:rPr>
      </w:pPr>
    </w:p>
    <w:p w14:paraId="12E331FC" w14:textId="787DEE90" w:rsidR="004302E4" w:rsidRDefault="004302E4">
      <w:pPr>
        <w:adjustRightInd/>
        <w:spacing w:after="160" w:line="259" w:lineRule="auto"/>
        <w:rPr>
          <w:rFonts w:eastAsia="Arial" w:cs="Arial"/>
        </w:rPr>
      </w:pPr>
      <w:r>
        <w:rPr>
          <w:rFonts w:eastAsia="Arial" w:cs="Arial"/>
        </w:rPr>
        <w:br w:type="page"/>
      </w:r>
    </w:p>
    <w:p w14:paraId="7BB1398C" w14:textId="1E0CE5DA" w:rsidR="004302E4" w:rsidRPr="00E5488A" w:rsidRDefault="00A86070" w:rsidP="004302E4">
      <w:pPr>
        <w:pStyle w:val="Level1Heading"/>
        <w:numPr>
          <w:ilvl w:val="0"/>
          <w:numId w:val="0"/>
        </w:numPr>
        <w:jc w:val="center"/>
      </w:pPr>
      <w:bookmarkStart w:id="2" w:name="_Toc197441901"/>
      <w:r>
        <w:lastRenderedPageBreak/>
        <w:t>S</w:t>
      </w:r>
      <w:r w:rsidR="004302E4">
        <w:t>ECTION</w:t>
      </w:r>
      <w:r w:rsidR="004302E4" w:rsidRPr="00E5488A">
        <w:t xml:space="preserve"> </w:t>
      </w:r>
      <w:r w:rsidR="004302E4">
        <w:t>2</w:t>
      </w:r>
      <w:r w:rsidR="004302E4" w:rsidRPr="00E5488A">
        <w:t xml:space="preserve"> </w:t>
      </w:r>
      <w:r w:rsidR="004302E4">
        <w:t>–</w:t>
      </w:r>
      <w:r w:rsidR="004302E4" w:rsidRPr="00E5488A">
        <w:t xml:space="preserve"> </w:t>
      </w:r>
      <w:r w:rsidR="004302E4">
        <w:t>I</w:t>
      </w:r>
      <w:r>
        <w:t>NTRODUCTION</w:t>
      </w:r>
      <w:bookmarkEnd w:id="2"/>
    </w:p>
    <w:p w14:paraId="734A2A0B" w14:textId="153EEC48" w:rsidR="004302E4" w:rsidRDefault="004302E4" w:rsidP="00AA0F4D">
      <w:pPr>
        <w:numPr>
          <w:ilvl w:val="1"/>
          <w:numId w:val="17"/>
        </w:numPr>
        <w:spacing w:after="200"/>
        <w:jc w:val="both"/>
        <w:rPr>
          <w:rFonts w:eastAsia="Arial" w:cs="Arial"/>
        </w:rPr>
      </w:pPr>
      <w:r w:rsidRPr="004302E4">
        <w:rPr>
          <w:rFonts w:eastAsia="Arial" w:cs="Arial"/>
        </w:rPr>
        <w:t xml:space="preserve">The Armed Forces Covenant Fund Trustee </w:t>
      </w:r>
      <w:r w:rsidRPr="00E5488A">
        <w:rPr>
          <w:rFonts w:eastAsia="Arial" w:cs="Arial"/>
        </w:rPr>
        <w:t>Limited acting as trustee of the Armed Forces Covenant Fund</w:t>
      </w:r>
      <w:r w:rsidRPr="00E5488A">
        <w:rPr>
          <w:rFonts w:eastAsia="Arial" w:cs="Arial"/>
          <w:b/>
        </w:rPr>
        <w:t xml:space="preserve"> </w:t>
      </w:r>
      <w:r w:rsidRPr="00E5488A">
        <w:rPr>
          <w:rFonts w:eastAsia="Arial" w:cs="Arial"/>
        </w:rPr>
        <w:t>(“</w:t>
      </w:r>
      <w:r w:rsidRPr="00E5488A">
        <w:rPr>
          <w:rFonts w:eastAsia="Arial" w:cs="Arial"/>
          <w:b/>
        </w:rPr>
        <w:t>the Trust</w:t>
      </w:r>
      <w:r w:rsidRPr="00E5488A">
        <w:rPr>
          <w:rFonts w:eastAsia="Arial" w:cs="Arial"/>
        </w:rPr>
        <w:t>”)</w:t>
      </w:r>
      <w:r>
        <w:rPr>
          <w:rFonts w:eastAsia="Arial" w:cs="Arial"/>
        </w:rPr>
        <w:t xml:space="preserve"> is running a </w:t>
      </w:r>
      <w:r w:rsidR="00CE6C37">
        <w:rPr>
          <w:rFonts w:eastAsia="Arial" w:cs="Arial"/>
        </w:rPr>
        <w:t>procurement</w:t>
      </w:r>
      <w:r>
        <w:rPr>
          <w:rFonts w:eastAsia="Arial" w:cs="Arial"/>
        </w:rPr>
        <w:t xml:space="preserve"> process </w:t>
      </w:r>
      <w:r w:rsidRPr="004302E4">
        <w:rPr>
          <w:rFonts w:eastAsia="Arial" w:cs="Arial"/>
        </w:rPr>
        <w:t>to</w:t>
      </w:r>
      <w:r w:rsidR="005513CB">
        <w:rPr>
          <w:rFonts w:eastAsia="Arial" w:cs="Arial"/>
        </w:rPr>
        <w:t xml:space="preserve"> establish a closed framework of</w:t>
      </w:r>
      <w:r w:rsidRPr="004302E4">
        <w:rPr>
          <w:rFonts w:eastAsia="Arial" w:cs="Arial"/>
        </w:rPr>
        <w:t xml:space="preserve"> suitably qualified Supplier</w:t>
      </w:r>
      <w:r w:rsidR="005513CB">
        <w:rPr>
          <w:rFonts w:eastAsia="Arial" w:cs="Arial"/>
        </w:rPr>
        <w:t>s</w:t>
      </w:r>
      <w:r w:rsidRPr="004302E4">
        <w:rPr>
          <w:rFonts w:eastAsia="Arial" w:cs="Arial"/>
        </w:rPr>
        <w:t xml:space="preserve"> for the provision of </w:t>
      </w:r>
      <w:r w:rsidR="005513CB" w:rsidRPr="005513CB">
        <w:rPr>
          <w:rFonts w:eastAsia="Arial" w:cs="Arial"/>
        </w:rPr>
        <w:t>research and evaluation services to support the Trust’s research, evidence, policy, and decision-making needs</w:t>
      </w:r>
      <w:r w:rsidRPr="004302E4">
        <w:rPr>
          <w:rFonts w:eastAsia="Arial" w:cs="Arial"/>
        </w:rPr>
        <w:t>. This Procurement is being conducted in accordance with the Act using the Open Procedure. This document, including its associated annexes/appendixes, (together the “</w:t>
      </w:r>
      <w:r w:rsidRPr="004302E4">
        <w:rPr>
          <w:rFonts w:eastAsia="Arial" w:cs="Arial"/>
          <w:b/>
          <w:bCs/>
        </w:rPr>
        <w:t>ITT</w:t>
      </w:r>
      <w:r w:rsidRPr="004302E4">
        <w:rPr>
          <w:rFonts w:eastAsia="Arial" w:cs="Arial"/>
        </w:rPr>
        <w:t>”) describes how the Procurement will be conducted, including details of the Procurement timetable, participation and award criteria and how to respond to this opportunity. Suppliers are strongly encouraged to read this document before preparing their submission.</w:t>
      </w:r>
    </w:p>
    <w:p w14:paraId="3903F871" w14:textId="1579222C" w:rsidR="00F767ED" w:rsidRDefault="00F767ED" w:rsidP="00AA0F4D">
      <w:pPr>
        <w:numPr>
          <w:ilvl w:val="1"/>
          <w:numId w:val="17"/>
        </w:numPr>
        <w:spacing w:after="200"/>
        <w:jc w:val="both"/>
        <w:rPr>
          <w:rFonts w:eastAsia="Arial" w:cs="Arial"/>
        </w:rPr>
      </w:pPr>
      <w:r>
        <w:rPr>
          <w:rFonts w:eastAsia="Arial" w:cs="Arial"/>
        </w:rPr>
        <w:t>The Procurement is being carried out under the open procedure, subject to the Procurement Act 2023 (the “</w:t>
      </w:r>
      <w:r w:rsidRPr="00F767ED">
        <w:rPr>
          <w:rFonts w:eastAsia="Arial" w:cs="Arial"/>
          <w:b/>
          <w:bCs/>
        </w:rPr>
        <w:t>Act</w:t>
      </w:r>
      <w:r>
        <w:rPr>
          <w:rFonts w:eastAsia="Arial" w:cs="Arial"/>
        </w:rPr>
        <w:t xml:space="preserve">”). </w:t>
      </w:r>
    </w:p>
    <w:p w14:paraId="11D87277" w14:textId="4651A168" w:rsidR="004302E4" w:rsidRDefault="004302E4" w:rsidP="00AA0F4D">
      <w:pPr>
        <w:numPr>
          <w:ilvl w:val="1"/>
          <w:numId w:val="17"/>
        </w:numPr>
        <w:spacing w:after="200"/>
        <w:jc w:val="both"/>
        <w:rPr>
          <w:rFonts w:eastAsia="Arial" w:cs="Arial"/>
        </w:rPr>
      </w:pPr>
      <w:r>
        <w:rPr>
          <w:rFonts w:eastAsia="Arial" w:cs="Arial"/>
        </w:rPr>
        <w:t xml:space="preserve">This </w:t>
      </w:r>
      <w:r w:rsidRPr="004302E4">
        <w:rPr>
          <w:rFonts w:eastAsia="Arial" w:cs="Arial"/>
        </w:rPr>
        <w:t>document has been prepared to assist Suppliers in deciding whether to participate in and subsequently submit a tender in this Procurement.</w:t>
      </w:r>
      <w:r w:rsidR="00F767ED">
        <w:rPr>
          <w:rFonts w:eastAsia="Arial" w:cs="Arial"/>
        </w:rPr>
        <w:t xml:space="preserve"> It is being made available by the Trust </w:t>
      </w:r>
      <w:r w:rsidR="0053645B">
        <w:rPr>
          <w:rFonts w:eastAsia="Arial" w:cs="Arial"/>
        </w:rPr>
        <w:t>on the condition that it is used only in connection this Procurement and for no other purpose.</w:t>
      </w:r>
    </w:p>
    <w:p w14:paraId="3471F92F" w14:textId="140852DA" w:rsidR="004302E4" w:rsidRDefault="004302E4" w:rsidP="00AA0F4D">
      <w:pPr>
        <w:numPr>
          <w:ilvl w:val="1"/>
          <w:numId w:val="17"/>
        </w:numPr>
        <w:spacing w:after="200"/>
        <w:jc w:val="both"/>
        <w:rPr>
          <w:rFonts w:eastAsia="Arial" w:cs="Arial"/>
        </w:rPr>
      </w:pPr>
      <w:r>
        <w:rPr>
          <w:rFonts w:eastAsia="Arial" w:cs="Arial"/>
        </w:rPr>
        <w:t xml:space="preserve">Please </w:t>
      </w:r>
      <w:r w:rsidRPr="004302E4">
        <w:rPr>
          <w:rFonts w:eastAsia="Arial" w:cs="Arial"/>
        </w:rPr>
        <w:t>read this document carefully and ensure compliance (including but without limitation the Procurement terms and conditions contained in Appendix A), as failure to comply with this document may result in exclusion from the Procurement and/or the rejection of any submission.</w:t>
      </w:r>
    </w:p>
    <w:p w14:paraId="4399C0CE" w14:textId="4017A779" w:rsidR="004302E4" w:rsidRDefault="004302E4" w:rsidP="00AA0F4D">
      <w:pPr>
        <w:numPr>
          <w:ilvl w:val="1"/>
          <w:numId w:val="17"/>
        </w:numPr>
        <w:spacing w:after="200"/>
        <w:jc w:val="both"/>
        <w:rPr>
          <w:rFonts w:eastAsia="Arial" w:cs="Arial"/>
        </w:rPr>
      </w:pPr>
      <w:r>
        <w:rPr>
          <w:rFonts w:eastAsia="Arial" w:cs="Arial"/>
        </w:rPr>
        <w:t xml:space="preserve">This </w:t>
      </w:r>
      <w:r w:rsidRPr="004302E4">
        <w:rPr>
          <w:rFonts w:eastAsia="Arial" w:cs="Arial"/>
        </w:rPr>
        <w:t>document should be read in conjunction with the Tender Notice and any associated Procurement documents which have been made available at this stage of the Procurement, as well as any instructions on the Central Digital Platform.</w:t>
      </w:r>
    </w:p>
    <w:p w14:paraId="72A81977" w14:textId="29FB3882" w:rsidR="004302E4" w:rsidRDefault="004302E4" w:rsidP="00AA0F4D">
      <w:pPr>
        <w:numPr>
          <w:ilvl w:val="1"/>
          <w:numId w:val="17"/>
        </w:numPr>
        <w:spacing w:after="200"/>
        <w:jc w:val="both"/>
        <w:rPr>
          <w:rFonts w:eastAsia="Arial" w:cs="Arial"/>
        </w:rPr>
      </w:pPr>
      <w:r>
        <w:rPr>
          <w:rFonts w:eastAsia="Arial" w:cs="Arial"/>
        </w:rPr>
        <w:t xml:space="preserve">The Trust </w:t>
      </w:r>
      <w:r w:rsidRPr="004302E4">
        <w:rPr>
          <w:rFonts w:eastAsia="Arial" w:cs="Arial"/>
        </w:rPr>
        <w:t xml:space="preserve">reserves the right to amend this ITT before the Tender Return Deadline as and when the need arises, including as the result of questions received from any of the Suppliers pursuant to these instructions, or to reflect any other changes to the Procurement or new information. Such amendment may be to any of the terms of this Procurement, including the stated award criteria. Any such amendment will be numbered, dated and issued </w:t>
      </w:r>
      <w:r w:rsidR="007A736B">
        <w:rPr>
          <w:rFonts w:eastAsia="Arial" w:cs="Arial"/>
        </w:rPr>
        <w:t>to all Suppliers</w:t>
      </w:r>
      <w:r w:rsidRPr="004302E4">
        <w:rPr>
          <w:rFonts w:eastAsia="Arial" w:cs="Arial"/>
        </w:rPr>
        <w:t>. In the event of</w:t>
      </w:r>
      <w:r>
        <w:rPr>
          <w:rFonts w:eastAsia="Arial" w:cs="Arial"/>
        </w:rPr>
        <w:t xml:space="preserve"> amendment, the Trust may at its discretion extend the deadline for receipt of Tenders.</w:t>
      </w:r>
    </w:p>
    <w:p w14:paraId="6DC94B2D" w14:textId="25EF7F6B" w:rsidR="004302E4" w:rsidRPr="007C1ACF" w:rsidRDefault="004302E4" w:rsidP="00AA0F4D">
      <w:pPr>
        <w:numPr>
          <w:ilvl w:val="1"/>
          <w:numId w:val="17"/>
        </w:numPr>
        <w:spacing w:after="200"/>
        <w:jc w:val="both"/>
        <w:rPr>
          <w:rFonts w:eastAsia="Arial" w:cs="Arial"/>
        </w:rPr>
      </w:pPr>
      <w:r>
        <w:rPr>
          <w:rFonts w:eastAsia="Arial" w:cs="Arial"/>
        </w:rPr>
        <w:t xml:space="preserve">Common </w:t>
      </w:r>
      <w:r w:rsidRPr="004302E4">
        <w:rPr>
          <w:rFonts w:eastAsia="Arial" w:cs="Arial"/>
        </w:rPr>
        <w:t xml:space="preserve">terms and expressions shall have the meanings ascribed to them in the </w:t>
      </w:r>
      <w:r w:rsidR="00E06B0C">
        <w:rPr>
          <w:rFonts w:eastAsia="Arial" w:cs="Arial"/>
        </w:rPr>
        <w:t>G</w:t>
      </w:r>
      <w:r w:rsidRPr="004302E4">
        <w:rPr>
          <w:rFonts w:eastAsia="Arial" w:cs="Arial"/>
        </w:rPr>
        <w:t>lossary in Appendix D.</w:t>
      </w:r>
    </w:p>
    <w:p w14:paraId="572008D3" w14:textId="5717A497" w:rsidR="004302E4" w:rsidRDefault="004302E4" w:rsidP="00AA0F4D">
      <w:pPr>
        <w:numPr>
          <w:ilvl w:val="1"/>
          <w:numId w:val="17"/>
        </w:numPr>
        <w:spacing w:after="200"/>
        <w:jc w:val="both"/>
        <w:rPr>
          <w:rFonts w:eastAsia="Arial" w:cs="Arial"/>
        </w:rPr>
      </w:pPr>
      <w:r>
        <w:rPr>
          <w:rFonts w:eastAsia="Arial" w:cs="Arial"/>
        </w:rPr>
        <w:t xml:space="preserve">All </w:t>
      </w:r>
      <w:r w:rsidRPr="004302E4">
        <w:rPr>
          <w:rFonts w:eastAsia="Arial" w:cs="Arial"/>
        </w:rPr>
        <w:t xml:space="preserve">references to a </w:t>
      </w:r>
      <w:r w:rsidR="005E673C">
        <w:rPr>
          <w:rFonts w:eastAsia="Arial" w:cs="Arial"/>
        </w:rPr>
        <w:t xml:space="preserve">‘section’, </w:t>
      </w:r>
      <w:r w:rsidRPr="004302E4">
        <w:rPr>
          <w:rFonts w:eastAsia="Arial" w:cs="Arial"/>
        </w:rPr>
        <w:t>‘paragraph’, ‘appendix’ or ‘annex’ are to a paragraph, appendix or annex of this document unless otherwise stated.</w:t>
      </w:r>
    </w:p>
    <w:p w14:paraId="7C7B31CE" w14:textId="1F19E68C" w:rsidR="004302E4" w:rsidRDefault="004302E4" w:rsidP="00AA0F4D">
      <w:pPr>
        <w:numPr>
          <w:ilvl w:val="1"/>
          <w:numId w:val="17"/>
        </w:numPr>
        <w:spacing w:after="200"/>
        <w:jc w:val="both"/>
        <w:rPr>
          <w:rFonts w:eastAsia="Arial" w:cs="Arial"/>
        </w:rPr>
      </w:pPr>
      <w:r>
        <w:rPr>
          <w:rFonts w:eastAsia="Arial" w:cs="Arial"/>
        </w:rPr>
        <w:t xml:space="preserve">All </w:t>
      </w:r>
      <w:r w:rsidRPr="004302E4">
        <w:rPr>
          <w:rFonts w:eastAsia="Arial" w:cs="Arial"/>
        </w:rPr>
        <w:t>references to dates and times within this document shall be interpreted in accordance with the United Kingdom time zones applicable at the date of the Procurement (i.e. GMT/BST).</w:t>
      </w:r>
    </w:p>
    <w:p w14:paraId="1B4795AA" w14:textId="244566E3" w:rsidR="004302E4" w:rsidRDefault="004302E4">
      <w:pPr>
        <w:adjustRightInd/>
        <w:spacing w:after="160" w:line="259" w:lineRule="auto"/>
        <w:rPr>
          <w:rFonts w:eastAsia="Arial" w:cs="Arial"/>
        </w:rPr>
      </w:pPr>
      <w:r>
        <w:rPr>
          <w:rFonts w:eastAsia="Arial" w:cs="Arial"/>
        </w:rPr>
        <w:br w:type="page"/>
      </w:r>
    </w:p>
    <w:p w14:paraId="392DB57C" w14:textId="3A6F86DC" w:rsidR="004302E4" w:rsidRPr="00E5488A" w:rsidRDefault="00A86070" w:rsidP="004302E4">
      <w:pPr>
        <w:pStyle w:val="Level1Heading"/>
        <w:numPr>
          <w:ilvl w:val="0"/>
          <w:numId w:val="0"/>
        </w:numPr>
        <w:jc w:val="center"/>
      </w:pPr>
      <w:bookmarkStart w:id="3" w:name="_Toc197441902"/>
      <w:r>
        <w:lastRenderedPageBreak/>
        <w:t>S</w:t>
      </w:r>
      <w:r w:rsidR="004302E4">
        <w:t>ECTION</w:t>
      </w:r>
      <w:r w:rsidR="004302E4" w:rsidRPr="00E5488A">
        <w:t xml:space="preserve"> </w:t>
      </w:r>
      <w:r w:rsidR="004302E4">
        <w:t>3</w:t>
      </w:r>
      <w:r w:rsidR="004302E4" w:rsidRPr="00E5488A">
        <w:t xml:space="preserve"> </w:t>
      </w:r>
      <w:r w:rsidR="004302E4">
        <w:t>–</w:t>
      </w:r>
      <w:r w:rsidR="004302E4" w:rsidRPr="00E5488A">
        <w:t xml:space="preserve"> </w:t>
      </w:r>
      <w:r>
        <w:t>INTRODUCTION TO THE TRUST</w:t>
      </w:r>
      <w:bookmarkEnd w:id="3"/>
    </w:p>
    <w:p w14:paraId="69C08F78" w14:textId="4C71EB7F" w:rsidR="004302E4" w:rsidRDefault="004302E4" w:rsidP="00AA0F4D">
      <w:pPr>
        <w:numPr>
          <w:ilvl w:val="1"/>
          <w:numId w:val="18"/>
        </w:numPr>
        <w:spacing w:after="200"/>
        <w:jc w:val="both"/>
        <w:rPr>
          <w:rFonts w:eastAsia="Arial" w:cs="Arial"/>
        </w:rPr>
      </w:pPr>
      <w:r>
        <w:rPr>
          <w:rFonts w:eastAsia="Arial" w:cs="Arial"/>
        </w:rPr>
        <w:t>The</w:t>
      </w:r>
      <w:r w:rsidRPr="00E5488A">
        <w:rPr>
          <w:rFonts w:eastAsia="Arial" w:cs="Arial"/>
        </w:rPr>
        <w:t xml:space="preserve"> Armed Forces Covenant Fund Trustee Limited</w:t>
      </w:r>
      <w:r>
        <w:rPr>
          <w:rFonts w:eastAsia="Arial" w:cs="Arial"/>
        </w:rPr>
        <w:t xml:space="preserve"> is a trustee of the</w:t>
      </w:r>
      <w:r w:rsidRPr="00E5488A">
        <w:rPr>
          <w:rFonts w:eastAsia="Arial" w:cs="Arial"/>
        </w:rPr>
        <w:t xml:space="preserve"> </w:t>
      </w:r>
      <w:r>
        <w:rPr>
          <w:rFonts w:eastAsia="Arial" w:cs="Arial"/>
        </w:rPr>
        <w:t>Trust. The Trust awards grants that support the Armed Forces community and is both a charity and a Non-Departmental Public Body, or NDPB. The Trust was originally based within the M</w:t>
      </w:r>
      <w:r w:rsidR="00E06B0C">
        <w:rPr>
          <w:rFonts w:eastAsia="Arial" w:cs="Arial"/>
        </w:rPr>
        <w:t xml:space="preserve">inistry of </w:t>
      </w:r>
      <w:r>
        <w:rPr>
          <w:rFonts w:eastAsia="Arial" w:cs="Arial"/>
        </w:rPr>
        <w:t>D</w:t>
      </w:r>
      <w:r w:rsidR="00E06B0C">
        <w:rPr>
          <w:rFonts w:eastAsia="Arial" w:cs="Arial"/>
        </w:rPr>
        <w:t>efence</w:t>
      </w:r>
      <w:r>
        <w:rPr>
          <w:rFonts w:eastAsia="Arial" w:cs="Arial"/>
        </w:rPr>
        <w:t xml:space="preserve"> before becoming an independent body in 2018.</w:t>
      </w:r>
    </w:p>
    <w:p w14:paraId="4E1DCB7F" w14:textId="21128C7A" w:rsidR="00AE6CA8" w:rsidRDefault="00AE6CA8" w:rsidP="00AA0F4D">
      <w:pPr>
        <w:numPr>
          <w:ilvl w:val="1"/>
          <w:numId w:val="18"/>
        </w:numPr>
        <w:spacing w:after="200"/>
        <w:jc w:val="both"/>
        <w:rPr>
          <w:rFonts w:eastAsia="Arial" w:cs="Arial"/>
        </w:rPr>
      </w:pPr>
      <w:r>
        <w:rPr>
          <w:rFonts w:eastAsia="Arial" w:cs="Arial"/>
        </w:rPr>
        <w:t>The Trust has four broad funding themes now and in future years:</w:t>
      </w:r>
    </w:p>
    <w:p w14:paraId="3099A53C" w14:textId="202340AC" w:rsidR="00AE6CA8" w:rsidRDefault="00AE6CA8" w:rsidP="00AE6CA8">
      <w:pPr>
        <w:pStyle w:val="Level3"/>
      </w:pPr>
      <w:r>
        <w:t xml:space="preserve">Non-core healthcare services for </w:t>
      </w:r>
      <w:r w:rsidR="00CA3880">
        <w:t>v</w:t>
      </w:r>
      <w:r>
        <w:t>eterans;</w:t>
      </w:r>
    </w:p>
    <w:p w14:paraId="182C4DB9" w14:textId="23A7ED8A" w:rsidR="00AE6CA8" w:rsidRDefault="00AE6CA8" w:rsidP="00AE6CA8">
      <w:pPr>
        <w:pStyle w:val="Level3"/>
      </w:pPr>
      <w:r>
        <w:t>Removing barriers to family life;</w:t>
      </w:r>
    </w:p>
    <w:p w14:paraId="3B398DC5" w14:textId="239E2E37" w:rsidR="00AE6CA8" w:rsidRDefault="00AE6CA8" w:rsidP="00AE6CA8">
      <w:pPr>
        <w:pStyle w:val="Level3"/>
      </w:pPr>
      <w:r>
        <w:t>Extra support, both in and after Service, for those that need help; and</w:t>
      </w:r>
    </w:p>
    <w:p w14:paraId="228D784D" w14:textId="36E70216" w:rsidR="00AE6CA8" w:rsidRDefault="00AE6CA8" w:rsidP="00AE6CA8">
      <w:pPr>
        <w:pStyle w:val="Level3"/>
      </w:pPr>
      <w:r>
        <w:t xml:space="preserve">Measures to integrate military and civilian communities and allow the </w:t>
      </w:r>
      <w:r w:rsidR="00CA3880">
        <w:t>a</w:t>
      </w:r>
      <w:r>
        <w:t xml:space="preserve">rmed </w:t>
      </w:r>
      <w:r w:rsidR="00CA3880">
        <w:t>f</w:t>
      </w:r>
      <w:r>
        <w:t>orces community to participate as citizens.</w:t>
      </w:r>
    </w:p>
    <w:p w14:paraId="5CE3234F" w14:textId="6C39D57D" w:rsidR="004302E4" w:rsidRPr="00E5488A" w:rsidRDefault="004302E4" w:rsidP="00AA0F4D">
      <w:pPr>
        <w:numPr>
          <w:ilvl w:val="1"/>
          <w:numId w:val="18"/>
        </w:numPr>
        <w:spacing w:after="200"/>
        <w:jc w:val="both"/>
        <w:rPr>
          <w:rFonts w:eastAsia="Arial" w:cs="Arial"/>
        </w:rPr>
      </w:pPr>
      <w:r>
        <w:rPr>
          <w:rFonts w:eastAsia="Arial" w:cs="Arial"/>
        </w:rPr>
        <w:t xml:space="preserve">The Armed Forces Covenant is a promise by the nation ensuring that those who serve of who have served in the Armed Forces, and their families, are treated fairly. It can be signed by businesses, charitable organisations, local authorities, public sector organisations and single services within the Armed Forces. All grants awarded by the Trust support the values of the Covenant and the Trust strongly encourages the projects that it supports to consider if they could sign the Covenant. </w:t>
      </w:r>
    </w:p>
    <w:p w14:paraId="359AFCF5" w14:textId="77777777" w:rsidR="004302E4" w:rsidRDefault="004302E4" w:rsidP="004302E4">
      <w:pPr>
        <w:spacing w:after="200"/>
        <w:jc w:val="both"/>
        <w:rPr>
          <w:rFonts w:eastAsia="Arial" w:cs="Arial"/>
        </w:rPr>
      </w:pPr>
    </w:p>
    <w:p w14:paraId="30088529" w14:textId="77777777" w:rsidR="004302E4" w:rsidRDefault="004302E4" w:rsidP="004302E4">
      <w:pPr>
        <w:keepNext/>
        <w:tabs>
          <w:tab w:val="left" w:pos="720"/>
        </w:tabs>
        <w:spacing w:after="220"/>
        <w:rPr>
          <w:rFonts w:eastAsia="Arial" w:cs="Arial"/>
          <w:b/>
          <w:caps/>
        </w:rPr>
      </w:pPr>
    </w:p>
    <w:p w14:paraId="4A41CD21" w14:textId="77777777" w:rsidR="004302E4" w:rsidRDefault="004302E4" w:rsidP="00E5488A">
      <w:pPr>
        <w:keepNext/>
        <w:tabs>
          <w:tab w:val="left" w:pos="720"/>
        </w:tabs>
        <w:spacing w:after="220"/>
        <w:jc w:val="center"/>
        <w:rPr>
          <w:rFonts w:eastAsia="Arial" w:cs="Arial"/>
          <w:b/>
          <w:caps/>
        </w:rPr>
      </w:pPr>
    </w:p>
    <w:p w14:paraId="6991AD24" w14:textId="77777777" w:rsidR="004302E4" w:rsidRDefault="004302E4" w:rsidP="00E5488A">
      <w:pPr>
        <w:keepNext/>
        <w:tabs>
          <w:tab w:val="left" w:pos="720"/>
        </w:tabs>
        <w:spacing w:after="220"/>
        <w:jc w:val="center"/>
        <w:rPr>
          <w:rFonts w:eastAsia="Arial" w:cs="Arial"/>
          <w:b/>
          <w:caps/>
        </w:rPr>
      </w:pPr>
    </w:p>
    <w:p w14:paraId="1D08F524" w14:textId="1A6A16A5" w:rsidR="00AE6CA8" w:rsidRDefault="00AE6CA8">
      <w:pPr>
        <w:adjustRightInd/>
        <w:spacing w:after="160" w:line="259" w:lineRule="auto"/>
        <w:rPr>
          <w:rFonts w:eastAsia="Arial" w:cs="Arial"/>
          <w:b/>
          <w:caps/>
        </w:rPr>
      </w:pPr>
      <w:r>
        <w:rPr>
          <w:rFonts w:eastAsia="Arial" w:cs="Arial"/>
          <w:b/>
          <w:caps/>
        </w:rPr>
        <w:br w:type="page"/>
      </w:r>
    </w:p>
    <w:p w14:paraId="41F2503C" w14:textId="726D7B13" w:rsidR="00AE6CA8" w:rsidRPr="00E5488A" w:rsidRDefault="00A86070" w:rsidP="00AE6CA8">
      <w:pPr>
        <w:pStyle w:val="Level1Heading"/>
        <w:numPr>
          <w:ilvl w:val="0"/>
          <w:numId w:val="0"/>
        </w:numPr>
        <w:jc w:val="center"/>
      </w:pPr>
      <w:bookmarkStart w:id="4" w:name="_Toc197441903"/>
      <w:r>
        <w:lastRenderedPageBreak/>
        <w:t>S</w:t>
      </w:r>
      <w:r w:rsidR="00AE6CA8">
        <w:t>ECTION</w:t>
      </w:r>
      <w:r w:rsidR="00AE6CA8" w:rsidRPr="00E5488A">
        <w:t xml:space="preserve"> </w:t>
      </w:r>
      <w:r w:rsidR="00AE6CA8">
        <w:t>4</w:t>
      </w:r>
      <w:r w:rsidR="00AE6CA8" w:rsidRPr="00E5488A">
        <w:t xml:space="preserve"> </w:t>
      </w:r>
      <w:r w:rsidR="00AE6CA8">
        <w:t>–</w:t>
      </w:r>
      <w:r w:rsidR="00AE6CA8" w:rsidRPr="00E5488A">
        <w:t xml:space="preserve"> </w:t>
      </w:r>
      <w:r w:rsidR="00AE6CA8">
        <w:t>OVERVIEW OF THE TRUST’s REQUIREMENT</w:t>
      </w:r>
      <w:bookmarkEnd w:id="4"/>
    </w:p>
    <w:p w14:paraId="7BA77791" w14:textId="5D5B19C2" w:rsidR="00A86070" w:rsidRDefault="00AE6CA8" w:rsidP="00AA0F4D">
      <w:pPr>
        <w:pStyle w:val="Level2"/>
        <w:numPr>
          <w:ilvl w:val="1"/>
          <w:numId w:val="19"/>
        </w:numPr>
      </w:pPr>
      <w:r>
        <w:t xml:space="preserve">The Trust </w:t>
      </w:r>
      <w:r w:rsidR="00A86070">
        <w:t xml:space="preserve">is seeking to procure </w:t>
      </w:r>
      <w:r w:rsidR="00F767ED">
        <w:t>suitable</w:t>
      </w:r>
      <w:r w:rsidR="00A86070">
        <w:t xml:space="preserve"> </w:t>
      </w:r>
      <w:r w:rsidR="00B1453F">
        <w:t>S</w:t>
      </w:r>
      <w:r w:rsidR="00A86070">
        <w:t>upplier</w:t>
      </w:r>
      <w:r w:rsidR="00B1453F">
        <w:t>s</w:t>
      </w:r>
      <w:r w:rsidR="00A86070">
        <w:t xml:space="preserve"> (</w:t>
      </w:r>
      <w:r w:rsidR="001D038F">
        <w:t xml:space="preserve">each </w:t>
      </w:r>
      <w:r w:rsidR="00A86070">
        <w:t xml:space="preserve">an individual </w:t>
      </w:r>
      <w:r w:rsidR="00F767ED">
        <w:t>organisation</w:t>
      </w:r>
      <w:r w:rsidR="00A86070">
        <w:t xml:space="preserve"> or a consortium with a lead </w:t>
      </w:r>
      <w:r w:rsidR="00B1453F">
        <w:t>S</w:t>
      </w:r>
      <w:r w:rsidR="00A86070">
        <w:t xml:space="preserve">upplier) </w:t>
      </w:r>
      <w:r w:rsidR="00B1453F">
        <w:t xml:space="preserve">to enter </w:t>
      </w:r>
      <w:r w:rsidR="00B1453F" w:rsidRPr="00B1453F">
        <w:t>into a framework agreement to provide research and evaluation services</w:t>
      </w:r>
      <w:r w:rsidR="00B1453F">
        <w:t xml:space="preserve"> to the Trust.</w:t>
      </w:r>
      <w:r w:rsidR="00B1453F" w:rsidRPr="00B1453F">
        <w:t xml:space="preserve"> </w:t>
      </w:r>
      <w:r w:rsidR="00A86070">
        <w:t>The definitive statement of the Trust’s requirements is set out in the Service Specification (Appendix B).</w:t>
      </w:r>
    </w:p>
    <w:p w14:paraId="360BBBA0" w14:textId="3F36BE86" w:rsidR="00B1453F" w:rsidRDefault="00B1453F" w:rsidP="00AA0F4D">
      <w:pPr>
        <w:pStyle w:val="Level2"/>
        <w:numPr>
          <w:ilvl w:val="1"/>
          <w:numId w:val="19"/>
        </w:numPr>
      </w:pPr>
      <w:r>
        <w:t xml:space="preserve">This Procurement will establish a framework for </w:t>
      </w:r>
      <w:r w:rsidR="00CE5A7E" w:rsidRPr="00CE5A7E">
        <w:t>research and evaluation</w:t>
      </w:r>
      <w:r>
        <w:t xml:space="preserve"> services in accordance with section </w:t>
      </w:r>
      <w:r w:rsidR="00CE5A7E">
        <w:t>45</w:t>
      </w:r>
      <w:r>
        <w:t xml:space="preserve"> of the Act. A framework is an</w:t>
      </w:r>
      <w:r w:rsidR="00CE5A7E">
        <w:t xml:space="preserve"> </w:t>
      </w:r>
      <w:r>
        <w:t>agreement with selected suppliers which sets out the terms and conditions</w:t>
      </w:r>
      <w:r w:rsidR="00CE5A7E">
        <w:t xml:space="preserve"> </w:t>
      </w:r>
      <w:r>
        <w:t>(including pricing and service levels) under which specific contracts (known as</w:t>
      </w:r>
      <w:r w:rsidR="00CE5A7E">
        <w:t xml:space="preserve"> </w:t>
      </w:r>
      <w:r>
        <w:t>“</w:t>
      </w:r>
      <w:r w:rsidR="00626686">
        <w:t>Call-Off</w:t>
      </w:r>
      <w:r>
        <w:t xml:space="preserve">s”) can be awarded during the framework’s duration. </w:t>
      </w:r>
      <w:r w:rsidR="00CE5A7E">
        <w:t>The Trust</w:t>
      </w:r>
      <w:r>
        <w:t xml:space="preserve"> does not</w:t>
      </w:r>
      <w:r w:rsidR="00CE5A7E">
        <w:t xml:space="preserve"> </w:t>
      </w:r>
      <w:r>
        <w:t>guarantee any minimum value of work under the framework. Specific wor</w:t>
      </w:r>
      <w:r w:rsidR="00CE5A7E">
        <w:t xml:space="preserve">k </w:t>
      </w:r>
      <w:r>
        <w:t>packages will be awarded via either direct award or mini-competition, depending</w:t>
      </w:r>
      <w:r w:rsidR="00CE5A7E">
        <w:t xml:space="preserve"> </w:t>
      </w:r>
      <w:r>
        <w:t xml:space="preserve">on the circumstances and as described </w:t>
      </w:r>
      <w:r w:rsidR="0026042B">
        <w:t>below</w:t>
      </w:r>
      <w:r>
        <w:t>.</w:t>
      </w:r>
      <w:r w:rsidR="0026042B">
        <w:t xml:space="preserve"> </w:t>
      </w:r>
      <w:r w:rsidR="0026042B" w:rsidRPr="0026042B">
        <w:t xml:space="preserve">The award of </w:t>
      </w:r>
      <w:r w:rsidR="0026042B">
        <w:t>the framework</w:t>
      </w:r>
      <w:r w:rsidR="0026042B" w:rsidRPr="0026042B">
        <w:t xml:space="preserve"> does not confer any right of exclusivity on the Supplier</w:t>
      </w:r>
      <w:r w:rsidR="0026042B">
        <w:t>s</w:t>
      </w:r>
      <w:r w:rsidR="0026042B" w:rsidRPr="0026042B">
        <w:t xml:space="preserve">. The </w:t>
      </w:r>
      <w:r w:rsidR="0026042B">
        <w:t>Trust</w:t>
      </w:r>
      <w:r w:rsidR="0026042B" w:rsidRPr="0026042B">
        <w:t xml:space="preserve"> reserves the right, at its sole discretion, to procure the same or similar goods and/or services from other suppliers outside of </w:t>
      </w:r>
      <w:r w:rsidR="0026042B">
        <w:t>the</w:t>
      </w:r>
      <w:r w:rsidR="0026042B" w:rsidRPr="0026042B">
        <w:t xml:space="preserve"> </w:t>
      </w:r>
      <w:r w:rsidR="0026042B">
        <w:t>f</w:t>
      </w:r>
      <w:r w:rsidR="0026042B" w:rsidRPr="0026042B">
        <w:t>ramework at any time.</w:t>
      </w:r>
    </w:p>
    <w:p w14:paraId="628AAF08" w14:textId="3382C1E1" w:rsidR="00CE5A7E" w:rsidRDefault="00CE5A7E" w:rsidP="00AA0F4D">
      <w:pPr>
        <w:pStyle w:val="Level2"/>
        <w:numPr>
          <w:ilvl w:val="1"/>
          <w:numId w:val="19"/>
        </w:numPr>
      </w:pPr>
      <w:r>
        <w:t xml:space="preserve">The Trust intends to appoint up to a maximum of five (5) Suppliers. However, where the submitted tenders demonstrate that full coverage of the requirements can be achieved with fewer Suppliers than the maximum number stated in this paragraph, the Trust reserves the right to appoint fewer than the stated maximum number of Suppliers. The Trust will make the decision factoring in issues such as </w:t>
      </w:r>
      <w:r w:rsidRPr="001D038F">
        <w:t>coverage of requirements, the need for consistency in service delivery, supplier capacity risk and effective framework management</w:t>
      </w:r>
      <w:r>
        <w:t>.</w:t>
      </w:r>
      <w:r w:rsidR="001D038F">
        <w:t xml:space="preserve"> The Trust also reserves the right to appoint fewer than the maximum number of Suppliers if fewer than five (5) compliant Tender Responses are received. </w:t>
      </w:r>
    </w:p>
    <w:p w14:paraId="76FB9232" w14:textId="588983BE" w:rsidR="00A86070" w:rsidRDefault="00A86070" w:rsidP="00AA0F4D">
      <w:pPr>
        <w:pStyle w:val="Level2"/>
        <w:numPr>
          <w:ilvl w:val="1"/>
          <w:numId w:val="19"/>
        </w:numPr>
      </w:pPr>
      <w:r>
        <w:t xml:space="preserve">The term of the </w:t>
      </w:r>
      <w:r w:rsidR="00141FFA">
        <w:t>framework</w:t>
      </w:r>
      <w:r>
        <w:t xml:space="preserve"> </w:t>
      </w:r>
      <w:r w:rsidRPr="00141FFA">
        <w:t xml:space="preserve">is </w:t>
      </w:r>
      <w:r w:rsidR="00141FFA" w:rsidRPr="00F145E2">
        <w:t>four (4) years</w:t>
      </w:r>
      <w:r w:rsidR="001D038F">
        <w:t>.</w:t>
      </w:r>
      <w:r w:rsidR="00141FFA">
        <w:t xml:space="preserve"> </w:t>
      </w:r>
    </w:p>
    <w:p w14:paraId="08673453" w14:textId="7F3629A6" w:rsidR="00141FFA" w:rsidRDefault="00B226BE" w:rsidP="00AA0F4D">
      <w:pPr>
        <w:pStyle w:val="Level2"/>
        <w:numPr>
          <w:ilvl w:val="1"/>
          <w:numId w:val="19"/>
        </w:numPr>
      </w:pPr>
      <w:r>
        <w:t>I</w:t>
      </w:r>
      <w:r w:rsidR="001D038F">
        <w:t xml:space="preserve">ndividual </w:t>
      </w:r>
      <w:r w:rsidR="00626686">
        <w:t>Call-Off</w:t>
      </w:r>
      <w:r w:rsidR="001D038F">
        <w:t xml:space="preserve"> contracts are estimated to range from </w:t>
      </w:r>
      <w:r w:rsidR="001611B4">
        <w:t>£40,000</w:t>
      </w:r>
      <w:r w:rsidR="001D038F">
        <w:t xml:space="preserve"> to </w:t>
      </w:r>
      <w:r w:rsidR="001611B4">
        <w:t>£</w:t>
      </w:r>
      <w:r w:rsidR="001359CE">
        <w:t>20</w:t>
      </w:r>
      <w:r w:rsidR="001611B4">
        <w:t>0,000</w:t>
      </w:r>
      <w:r w:rsidR="001D038F">
        <w:t xml:space="preserve"> but the Trust reserves the right to award </w:t>
      </w:r>
      <w:r w:rsidR="00626686">
        <w:t>Call-Off</w:t>
      </w:r>
      <w:r w:rsidR="001D038F">
        <w:t xml:space="preserve"> contracts under the framework with a value outside of this range.</w:t>
      </w:r>
    </w:p>
    <w:p w14:paraId="3F1A6952" w14:textId="6FD9B86F" w:rsidR="00487144" w:rsidRPr="00F145E2" w:rsidRDefault="00626686" w:rsidP="00F145E2">
      <w:pPr>
        <w:pStyle w:val="Level2"/>
        <w:numPr>
          <w:ilvl w:val="0"/>
          <w:numId w:val="0"/>
        </w:numPr>
        <w:rPr>
          <w:b/>
          <w:bCs/>
        </w:rPr>
      </w:pPr>
      <w:r>
        <w:rPr>
          <w:b/>
          <w:bCs/>
        </w:rPr>
        <w:t>Call-Off</w:t>
      </w:r>
      <w:r w:rsidR="00487144">
        <w:rPr>
          <w:b/>
          <w:bCs/>
        </w:rPr>
        <w:t xml:space="preserve"> Mechanism and Award Process</w:t>
      </w:r>
    </w:p>
    <w:p w14:paraId="368258CA" w14:textId="21042A8C" w:rsidR="00E06B0C" w:rsidRDefault="00626686" w:rsidP="00AA0F4D">
      <w:pPr>
        <w:pStyle w:val="Level2"/>
        <w:numPr>
          <w:ilvl w:val="1"/>
          <w:numId w:val="19"/>
        </w:numPr>
      </w:pPr>
      <w:r>
        <w:t>Call-Off</w:t>
      </w:r>
      <w:r w:rsidR="00487144">
        <w:t xml:space="preserve"> contracts under the framework will be awarded</w:t>
      </w:r>
      <w:r w:rsidR="00E06B0C">
        <w:t xml:space="preserve">, by default, by ‘mini-competitions’ </w:t>
      </w:r>
      <w:r w:rsidR="00E06B0C" w:rsidRPr="00E06B0C">
        <w:t>based on the following criteria</w:t>
      </w:r>
      <w:r w:rsidR="00E06B0C">
        <w:t>:</w:t>
      </w:r>
    </w:p>
    <w:p w14:paraId="4776C9F9" w14:textId="20366B8B" w:rsidR="00487144" w:rsidRDefault="007D31CF" w:rsidP="00AA0F4D">
      <w:pPr>
        <w:pStyle w:val="Level2"/>
        <w:numPr>
          <w:ilvl w:val="2"/>
          <w:numId w:val="19"/>
        </w:numPr>
      </w:pPr>
      <w:r>
        <w:t xml:space="preserve">The experience and expertise </w:t>
      </w:r>
      <w:r w:rsidR="00DC5200">
        <w:t xml:space="preserve">of the bidding organisation and the proposed team in relation to the </w:t>
      </w:r>
      <w:r w:rsidR="00AD7A65">
        <w:t>Service requirements</w:t>
      </w:r>
      <w:r w:rsidR="004B792E">
        <w:t>.</w:t>
      </w:r>
    </w:p>
    <w:p w14:paraId="1569FFF5" w14:textId="62C86C4A" w:rsidR="006C6DEB" w:rsidRDefault="006C6DEB" w:rsidP="00AA0F4D">
      <w:pPr>
        <w:pStyle w:val="Level2"/>
        <w:numPr>
          <w:ilvl w:val="2"/>
          <w:numId w:val="19"/>
        </w:numPr>
      </w:pPr>
      <w:r>
        <w:t>The suitability</w:t>
      </w:r>
      <w:r w:rsidR="00382A57">
        <w:t xml:space="preserve">, deliverability and robustness of the </w:t>
      </w:r>
      <w:r w:rsidR="002C6CE6">
        <w:t>methodolog</w:t>
      </w:r>
      <w:r w:rsidR="00126D1D">
        <w:t>ical framework</w:t>
      </w:r>
      <w:r w:rsidR="002C6CE6">
        <w:t xml:space="preserve"> proposed to undertake</w:t>
      </w:r>
      <w:r w:rsidR="00A24C27">
        <w:t xml:space="preserve"> the research or evaluation</w:t>
      </w:r>
      <w:r w:rsidR="00C40D3E">
        <w:t xml:space="preserve">, and the </w:t>
      </w:r>
      <w:r w:rsidR="00C71E75">
        <w:t>strength</w:t>
      </w:r>
      <w:r w:rsidR="007D4DCE">
        <w:t xml:space="preserve"> of the project management</w:t>
      </w:r>
      <w:r w:rsidR="00F332F0">
        <w:t xml:space="preserve"> </w:t>
      </w:r>
      <w:r w:rsidR="00EA009B">
        <w:t>framework</w:t>
      </w:r>
      <w:r w:rsidR="004B792E">
        <w:t>.</w:t>
      </w:r>
    </w:p>
    <w:p w14:paraId="6392DBA4" w14:textId="3DEF46F2" w:rsidR="00EA009B" w:rsidRDefault="00DF221B" w:rsidP="00AA0F4D">
      <w:pPr>
        <w:pStyle w:val="Level2"/>
        <w:numPr>
          <w:ilvl w:val="2"/>
          <w:numId w:val="19"/>
        </w:numPr>
      </w:pPr>
      <w:r>
        <w:t>Consideration of factors including risk management</w:t>
      </w:r>
      <w:r w:rsidR="004B792E">
        <w:t xml:space="preserve">, adherence to </w:t>
      </w:r>
      <w:r w:rsidRPr="00DF221B">
        <w:t>relevant professional standards, research ethics principles, data protection legislation and safeguarding requirements</w:t>
      </w:r>
      <w:r w:rsidR="004B792E">
        <w:t>.</w:t>
      </w:r>
    </w:p>
    <w:p w14:paraId="49EF04DC" w14:textId="7B0BDCA8" w:rsidR="004B792E" w:rsidRDefault="00176E39" w:rsidP="00AA0F4D">
      <w:pPr>
        <w:pStyle w:val="Level2"/>
        <w:numPr>
          <w:ilvl w:val="2"/>
          <w:numId w:val="19"/>
        </w:numPr>
      </w:pPr>
      <w:r>
        <w:t>The pro</w:t>
      </w:r>
      <w:r w:rsidR="00ED2312">
        <w:t xml:space="preserve">posed cost for carrying out the </w:t>
      </w:r>
      <w:r w:rsidR="00DE1C36">
        <w:t xml:space="preserve">work in the Service Specification </w:t>
      </w:r>
      <w:r w:rsidR="00613EF7">
        <w:t>outlined in the Call-Off</w:t>
      </w:r>
      <w:r w:rsidR="00E93E81">
        <w:t xml:space="preserve"> – the </w:t>
      </w:r>
      <w:r w:rsidR="00AF3712">
        <w:t>lowest bidder receives the highest score in the Commercial section</w:t>
      </w:r>
    </w:p>
    <w:p w14:paraId="1407CF5A" w14:textId="605AE968" w:rsidR="00E06B0C" w:rsidRDefault="00E06B0C" w:rsidP="00AA0F4D">
      <w:pPr>
        <w:pStyle w:val="Level2"/>
        <w:numPr>
          <w:ilvl w:val="1"/>
          <w:numId w:val="19"/>
        </w:numPr>
      </w:pPr>
      <w:r>
        <w:t>The process for mini-competitions will involve:</w:t>
      </w:r>
    </w:p>
    <w:p w14:paraId="0AAA5A1C" w14:textId="1B4EB5DB" w:rsidR="00E06B0C" w:rsidRPr="003531F3" w:rsidRDefault="00E06B0C" w:rsidP="00AA0F4D">
      <w:pPr>
        <w:pStyle w:val="Level2"/>
        <w:numPr>
          <w:ilvl w:val="2"/>
          <w:numId w:val="19"/>
        </w:numPr>
      </w:pPr>
      <w:r w:rsidRPr="003531F3">
        <w:t xml:space="preserve">Issuing a </w:t>
      </w:r>
      <w:r w:rsidR="00626686">
        <w:t>Call-Off</w:t>
      </w:r>
      <w:r w:rsidRPr="003531F3">
        <w:t xml:space="preserve"> request setting out the scope</w:t>
      </w:r>
      <w:r w:rsidR="00800014" w:rsidRPr="00F145E2">
        <w:t xml:space="preserve"> of services</w:t>
      </w:r>
      <w:r w:rsidRPr="003531F3">
        <w:t>, deliverables,</w:t>
      </w:r>
      <w:r w:rsidR="00800014" w:rsidRPr="00F145E2">
        <w:t xml:space="preserve"> timescales</w:t>
      </w:r>
      <w:r w:rsidRPr="003531F3">
        <w:t xml:space="preserve"> and </w:t>
      </w:r>
      <w:r w:rsidR="00800014" w:rsidRPr="00F145E2">
        <w:t xml:space="preserve">the precise </w:t>
      </w:r>
      <w:r w:rsidR="00085455">
        <w:t xml:space="preserve">research and </w:t>
      </w:r>
      <w:r w:rsidRPr="003531F3">
        <w:t>evaluation criteria</w:t>
      </w:r>
      <w:r w:rsidR="00800014" w:rsidRPr="00F145E2">
        <w:t xml:space="preserve"> to be applied to award the </w:t>
      </w:r>
      <w:r w:rsidR="00626686">
        <w:t>Call-Off</w:t>
      </w:r>
      <w:r w:rsidR="00800014" w:rsidRPr="00F145E2">
        <w:t xml:space="preserve"> contract</w:t>
      </w:r>
      <w:r w:rsidRPr="003531F3">
        <w:t>.</w:t>
      </w:r>
    </w:p>
    <w:p w14:paraId="444F904E" w14:textId="71B2ED27" w:rsidR="00E06B0C" w:rsidRPr="003531F3" w:rsidRDefault="00E06B0C" w:rsidP="00AA0F4D">
      <w:pPr>
        <w:pStyle w:val="Level2"/>
        <w:numPr>
          <w:ilvl w:val="2"/>
          <w:numId w:val="19"/>
        </w:numPr>
      </w:pPr>
      <w:r w:rsidRPr="003531F3">
        <w:t xml:space="preserve">Allowing </w:t>
      </w:r>
      <w:r w:rsidR="00800014" w:rsidRPr="00F145E2">
        <w:t xml:space="preserve">framework </w:t>
      </w:r>
      <w:r w:rsidRPr="003531F3">
        <w:t>Suppliers a reasonable period to respond, proportionate to the complexity of the requirement.</w:t>
      </w:r>
    </w:p>
    <w:p w14:paraId="1063AE74" w14:textId="1A271AC8" w:rsidR="00E06B0C" w:rsidRPr="003531F3" w:rsidRDefault="00E06B0C" w:rsidP="00AA0F4D">
      <w:pPr>
        <w:pStyle w:val="Level2"/>
        <w:numPr>
          <w:ilvl w:val="2"/>
          <w:numId w:val="19"/>
        </w:numPr>
      </w:pPr>
      <w:r w:rsidRPr="003531F3">
        <w:lastRenderedPageBreak/>
        <w:t xml:space="preserve">Evaluating responses and awarding the </w:t>
      </w:r>
      <w:r w:rsidR="00626686">
        <w:t>Call-Off</w:t>
      </w:r>
      <w:r w:rsidRPr="003531F3">
        <w:t xml:space="preserve"> contract to the Supplier whose submission offers the most advantageous tender based on the published criteria.</w:t>
      </w:r>
    </w:p>
    <w:p w14:paraId="2421CA85" w14:textId="172B48ED" w:rsidR="005E36E6" w:rsidRDefault="00E06B0C" w:rsidP="00AA0F4D">
      <w:pPr>
        <w:pStyle w:val="Level2"/>
        <w:numPr>
          <w:ilvl w:val="1"/>
          <w:numId w:val="19"/>
        </w:numPr>
      </w:pPr>
      <w:r>
        <w:t xml:space="preserve">The Trust </w:t>
      </w:r>
      <w:r w:rsidRPr="00E06B0C">
        <w:t xml:space="preserve">reserves the right to award </w:t>
      </w:r>
      <w:r w:rsidR="00626686">
        <w:t>Call-Off</w:t>
      </w:r>
      <w:r w:rsidR="00800014">
        <w:t xml:space="preserve"> </w:t>
      </w:r>
      <w:r w:rsidRPr="00E06B0C">
        <w:t xml:space="preserve">contracts via </w:t>
      </w:r>
      <w:r w:rsidRPr="00F145E2">
        <w:t>direct award</w:t>
      </w:r>
      <w:r w:rsidRPr="00E06B0C">
        <w:t xml:space="preserve"> (i.e. without</w:t>
      </w:r>
      <w:r w:rsidR="00800014">
        <w:t xml:space="preserve"> a mini-</w:t>
      </w:r>
      <w:r w:rsidRPr="00E06B0C">
        <w:t>competition)</w:t>
      </w:r>
      <w:r w:rsidR="00800014">
        <w:t xml:space="preserve"> by approaching a single framework Supplier for a proposal</w:t>
      </w:r>
      <w:r w:rsidR="005E36E6">
        <w:t xml:space="preserve">. The Trust may use the direct award option for any of the following reasons: </w:t>
      </w:r>
    </w:p>
    <w:p w14:paraId="492F61E8" w14:textId="1165C2C6" w:rsidR="005E36E6" w:rsidRDefault="005E36E6" w:rsidP="00AA0F4D">
      <w:pPr>
        <w:pStyle w:val="Level2"/>
        <w:numPr>
          <w:ilvl w:val="2"/>
          <w:numId w:val="19"/>
        </w:numPr>
      </w:pPr>
      <w:r>
        <w:t>for urgent requirements;</w:t>
      </w:r>
    </w:p>
    <w:p w14:paraId="0073F3E8" w14:textId="24A9C6A0" w:rsidR="005E36E6" w:rsidRDefault="005E36E6" w:rsidP="00AA0F4D">
      <w:pPr>
        <w:pStyle w:val="Level2"/>
        <w:numPr>
          <w:ilvl w:val="2"/>
          <w:numId w:val="19"/>
        </w:numPr>
      </w:pPr>
      <w:r>
        <w:t xml:space="preserve">where the </w:t>
      </w:r>
      <w:r w:rsidR="00626686">
        <w:t>Call-Off</w:t>
      </w:r>
      <w:r>
        <w:t xml:space="preserve"> contract is low-value (typically </w:t>
      </w:r>
      <w:r w:rsidRPr="00B44AE4">
        <w:t>below</w:t>
      </w:r>
      <w:r w:rsidR="00B44AE4" w:rsidRPr="00B44AE4">
        <w:t xml:space="preserve"> </w:t>
      </w:r>
      <w:r w:rsidRPr="00B44AE4">
        <w:t>£</w:t>
      </w:r>
      <w:r w:rsidR="00EA5677">
        <w:t>5</w:t>
      </w:r>
      <w:r w:rsidRPr="00B44AE4">
        <w:t>0,000 including VAT</w:t>
      </w:r>
      <w:r w:rsidR="0094220C">
        <w:t>)</w:t>
      </w:r>
      <w:r w:rsidRPr="00B44AE4">
        <w:t>;</w:t>
      </w:r>
      <w:r w:rsidR="003531F3">
        <w:t xml:space="preserve"> or</w:t>
      </w:r>
    </w:p>
    <w:p w14:paraId="332F3405" w14:textId="7CADEF5E" w:rsidR="00487144" w:rsidRDefault="005E36E6" w:rsidP="00AA0F4D">
      <w:pPr>
        <w:pStyle w:val="Level2"/>
        <w:numPr>
          <w:ilvl w:val="2"/>
          <w:numId w:val="19"/>
        </w:numPr>
      </w:pPr>
      <w:r>
        <w:t xml:space="preserve">where the Trust considers </w:t>
      </w:r>
      <w:r w:rsidR="00800014">
        <w:t>(in its absolute discretion) a direct award</w:t>
      </w:r>
      <w:r>
        <w:t xml:space="preserve"> to a specific </w:t>
      </w:r>
      <w:r w:rsidR="0026042B">
        <w:t xml:space="preserve">framework </w:t>
      </w:r>
      <w:r>
        <w:t>Supplier</w:t>
      </w:r>
      <w:r w:rsidR="00800014">
        <w:t xml:space="preserve"> is </w:t>
      </w:r>
      <w:r>
        <w:t>necessary for</w:t>
      </w:r>
      <w:r w:rsidR="00487144" w:rsidRPr="00487144">
        <w:t xml:space="preserve"> </w:t>
      </w:r>
      <w:r>
        <w:t xml:space="preserve">the </w:t>
      </w:r>
      <w:r w:rsidR="00487144" w:rsidRPr="00487144">
        <w:t xml:space="preserve">continuation of </w:t>
      </w:r>
      <w:r w:rsidR="00487144" w:rsidRPr="00F145E2">
        <w:t xml:space="preserve">work for </w:t>
      </w:r>
      <w:r w:rsidR="00487144" w:rsidRPr="00487144">
        <w:t>consistency</w:t>
      </w:r>
      <w:r w:rsidR="003531F3">
        <w:t xml:space="preserve"> or because the Supplier is the only one that has the experience or expertise required for the </w:t>
      </w:r>
      <w:r w:rsidR="00626686">
        <w:t>Call-Off</w:t>
      </w:r>
      <w:r w:rsidR="003531F3">
        <w:t xml:space="preserve"> contract</w:t>
      </w:r>
      <w:r>
        <w:t xml:space="preserve">. </w:t>
      </w:r>
    </w:p>
    <w:p w14:paraId="124909BE" w14:textId="166D1F11" w:rsidR="00E06B0C" w:rsidRDefault="00E06B0C" w:rsidP="00AA0F4D">
      <w:pPr>
        <w:pStyle w:val="Level2"/>
        <w:numPr>
          <w:ilvl w:val="1"/>
          <w:numId w:val="19"/>
        </w:numPr>
      </w:pPr>
      <w:r>
        <w:t xml:space="preserve">The Trust reserves the right not to award a </w:t>
      </w:r>
      <w:r w:rsidR="00626686">
        <w:t>Call-Off</w:t>
      </w:r>
      <w:r w:rsidRPr="003531F3">
        <w:t xml:space="preserve"> </w:t>
      </w:r>
      <w:r w:rsidR="003531F3">
        <w:t>c</w:t>
      </w:r>
      <w:r w:rsidRPr="003531F3">
        <w:t xml:space="preserve">ontract </w:t>
      </w:r>
      <w:r w:rsidR="003531F3">
        <w:t xml:space="preserve">after requesting proposal(s) at any time and for any reason including </w:t>
      </w:r>
      <w:r w:rsidRPr="003531F3">
        <w:t xml:space="preserve">if no submission meets </w:t>
      </w:r>
      <w:r w:rsidR="003531F3" w:rsidRPr="00F145E2">
        <w:t xml:space="preserve">the Trust’s </w:t>
      </w:r>
      <w:r w:rsidRPr="003531F3">
        <w:t>requirements.</w:t>
      </w:r>
    </w:p>
    <w:p w14:paraId="3562674E" w14:textId="77777777" w:rsidR="00487144" w:rsidRDefault="00487144" w:rsidP="00F145E2">
      <w:pPr>
        <w:pStyle w:val="Level2"/>
        <w:numPr>
          <w:ilvl w:val="0"/>
          <w:numId w:val="0"/>
        </w:numPr>
        <w:ind w:left="720"/>
      </w:pPr>
    </w:p>
    <w:p w14:paraId="3B6E67E3" w14:textId="2DD6298E" w:rsidR="00A86070" w:rsidRDefault="00A86070">
      <w:pPr>
        <w:adjustRightInd/>
        <w:spacing w:after="160" w:line="259" w:lineRule="auto"/>
        <w:rPr>
          <w:rFonts w:eastAsia="Arial" w:cs="Arial"/>
          <w:highlight w:val="yellow"/>
        </w:rPr>
      </w:pPr>
      <w:r>
        <w:rPr>
          <w:highlight w:val="yellow"/>
        </w:rPr>
        <w:br w:type="page"/>
      </w:r>
    </w:p>
    <w:p w14:paraId="4C83D124" w14:textId="3A548AFD" w:rsidR="00A86070" w:rsidRPr="00E5488A" w:rsidRDefault="00A86070" w:rsidP="00A86070">
      <w:pPr>
        <w:pStyle w:val="Level1Heading"/>
        <w:numPr>
          <w:ilvl w:val="0"/>
          <w:numId w:val="0"/>
        </w:numPr>
        <w:jc w:val="center"/>
      </w:pPr>
      <w:bookmarkStart w:id="5" w:name="_Toc197441904"/>
      <w:r>
        <w:lastRenderedPageBreak/>
        <w:t>SECTION</w:t>
      </w:r>
      <w:r w:rsidRPr="00E5488A">
        <w:t xml:space="preserve"> </w:t>
      </w:r>
      <w:r>
        <w:t>5</w:t>
      </w:r>
      <w:r w:rsidRPr="00E5488A">
        <w:t xml:space="preserve"> </w:t>
      </w:r>
      <w:r>
        <w:t>–</w:t>
      </w:r>
      <w:r w:rsidRPr="00E5488A">
        <w:t xml:space="preserve"> </w:t>
      </w:r>
      <w:r>
        <w:t>THE PROCUREMENT PROCESS</w:t>
      </w:r>
      <w:bookmarkEnd w:id="5"/>
    </w:p>
    <w:p w14:paraId="22C3BC83" w14:textId="51134695" w:rsidR="00A86070" w:rsidRPr="00A86070" w:rsidRDefault="00A86070" w:rsidP="00A86070">
      <w:pPr>
        <w:keepNext/>
        <w:suppressAutoHyphens/>
        <w:adjustRightInd/>
        <w:spacing w:after="240"/>
        <w:jc w:val="both"/>
        <w:rPr>
          <w:rFonts w:eastAsia="Helvetica Neue Light" w:cs="Arial"/>
          <w:color w:val="000000"/>
        </w:rPr>
      </w:pPr>
      <w:r w:rsidRPr="00A86070">
        <w:rPr>
          <w:rFonts w:eastAsia="Helvetica Neue Light" w:cs="Arial"/>
          <w:color w:val="000000"/>
        </w:rPr>
        <w:t>This Open Procedure will be conducted as follows:</w:t>
      </w:r>
    </w:p>
    <w:p w14:paraId="2BACDB0E" w14:textId="77777777" w:rsidR="00A86070" w:rsidRDefault="00A86070" w:rsidP="00AA0F4D">
      <w:pPr>
        <w:pStyle w:val="Level2"/>
        <w:numPr>
          <w:ilvl w:val="1"/>
          <w:numId w:val="20"/>
        </w:numPr>
      </w:pPr>
      <w:r w:rsidRPr="00A86070">
        <w:t xml:space="preserve">This Procurement commenced with the issuing of a Tender Notice and the publication of this ITT. </w:t>
      </w:r>
    </w:p>
    <w:p w14:paraId="56034289" w14:textId="6F6FB62D" w:rsidR="00A86070" w:rsidRPr="00A86070" w:rsidRDefault="00A86070" w:rsidP="00A86070">
      <w:pPr>
        <w:pStyle w:val="Level2"/>
        <w:numPr>
          <w:ilvl w:val="0"/>
          <w:numId w:val="0"/>
        </w:numPr>
      </w:pPr>
      <w:r w:rsidRPr="00A86070">
        <w:rPr>
          <w:rFonts w:eastAsia="Helvetica Neue Light"/>
          <w:b/>
          <w:bCs/>
          <w:color w:val="000000"/>
          <w:u w:val="single"/>
        </w:rPr>
        <w:t>Step 1:</w:t>
      </w:r>
    </w:p>
    <w:p w14:paraId="4B66D3BE" w14:textId="77777777" w:rsidR="00A86070" w:rsidRDefault="00A86070" w:rsidP="00A86070">
      <w:pPr>
        <w:pStyle w:val="Level2"/>
      </w:pPr>
      <w:r w:rsidRPr="00A86070">
        <w:t>This document includes a procurement specific questionnaire (“</w:t>
      </w:r>
      <w:r w:rsidRPr="00A86070">
        <w:rPr>
          <w:b/>
          <w:bCs/>
        </w:rPr>
        <w:t>PSQ</w:t>
      </w:r>
      <w:r w:rsidRPr="00A86070">
        <w:t xml:space="preserve">”) at Appendix C which all Suppliers are required to complete and include in their Tender Response. Suppliers’ Tender Responses must be returned in accordance with the Procurement Timetable and instructions within this document. </w:t>
      </w:r>
    </w:p>
    <w:p w14:paraId="17C28F0E" w14:textId="21B6D04A" w:rsidR="00A86070" w:rsidRPr="00A86070" w:rsidRDefault="00A86070" w:rsidP="00A86070">
      <w:pPr>
        <w:pStyle w:val="Level2"/>
      </w:pPr>
      <w:r w:rsidRPr="00A86070">
        <w:rPr>
          <w:rFonts w:eastAsia="Helvetica Neue Light"/>
          <w:color w:val="000000"/>
        </w:rPr>
        <w:t xml:space="preserve">The </w:t>
      </w:r>
      <w:r w:rsidR="00F767ED">
        <w:rPr>
          <w:rFonts w:eastAsia="Helvetica Neue Light"/>
          <w:color w:val="000000"/>
        </w:rPr>
        <w:t>Trust</w:t>
      </w:r>
      <w:r w:rsidRPr="00A86070">
        <w:rPr>
          <w:rFonts w:eastAsia="Helvetica Neue Light"/>
          <w:color w:val="000000"/>
        </w:rPr>
        <w:t xml:space="preserve"> will first check Suppliers’ Tender Responses to ensure responses are compliant with this ITT. If a Supplier’s Tender Response is non-compliant the </w:t>
      </w:r>
      <w:r w:rsidR="00F767ED">
        <w:rPr>
          <w:rFonts w:eastAsia="Helvetica Neue Light"/>
          <w:color w:val="000000"/>
        </w:rPr>
        <w:t>Trust</w:t>
      </w:r>
      <w:r w:rsidRPr="00A86070">
        <w:rPr>
          <w:rFonts w:eastAsia="Helvetica Neue Light"/>
          <w:color w:val="000000"/>
        </w:rPr>
        <w:t xml:space="preserve"> reserves the right to reject the Tender Response, and the Supplier will not proceed in this Procurement. </w:t>
      </w:r>
    </w:p>
    <w:p w14:paraId="1DF6CDF3" w14:textId="77777777" w:rsidR="00A86070" w:rsidRPr="00A86070" w:rsidRDefault="00A86070" w:rsidP="00A86070">
      <w:pPr>
        <w:suppressAutoHyphens/>
        <w:adjustRightInd/>
        <w:spacing w:after="240"/>
        <w:jc w:val="both"/>
        <w:rPr>
          <w:rFonts w:eastAsia="Helvetica Neue Light" w:cs="Arial"/>
          <w:b/>
          <w:bCs/>
          <w:color w:val="000000"/>
          <w:u w:val="single"/>
        </w:rPr>
      </w:pPr>
      <w:r w:rsidRPr="00A86070">
        <w:rPr>
          <w:rFonts w:eastAsia="Helvetica Neue Light" w:cs="Arial"/>
          <w:b/>
          <w:bCs/>
          <w:color w:val="000000"/>
          <w:u w:val="single"/>
        </w:rPr>
        <w:t xml:space="preserve">Step 2: </w:t>
      </w:r>
    </w:p>
    <w:p w14:paraId="00E5AC77" w14:textId="073C567D" w:rsidR="00A86070" w:rsidRDefault="00A86070" w:rsidP="00A86070">
      <w:pPr>
        <w:pStyle w:val="Level2"/>
      </w:pPr>
      <w:r w:rsidRPr="00A86070">
        <w:t xml:space="preserve">Once the </w:t>
      </w:r>
      <w:r w:rsidR="00F767ED">
        <w:t>Trust</w:t>
      </w:r>
      <w:r w:rsidRPr="00A86070">
        <w:t xml:space="preserve"> has undertaken a compliance check the </w:t>
      </w:r>
      <w:r w:rsidR="00F767ED">
        <w:t>Trust</w:t>
      </w:r>
      <w:r w:rsidRPr="00A86070">
        <w:t xml:space="preserve"> will first evaluate Suppliers’ PSQ responses. The </w:t>
      </w:r>
      <w:r w:rsidR="00F767ED">
        <w:t>Trust</w:t>
      </w:r>
      <w:r w:rsidRPr="00A86070">
        <w:t xml:space="preserve"> will use the PSQ to confirm that neither the Supplier, nor any related persons within its corporate group, </w:t>
      </w:r>
      <w:r w:rsidR="008162C1">
        <w:t>A</w:t>
      </w:r>
      <w:r w:rsidRPr="00A86070">
        <w:t xml:space="preserve">ssociated </w:t>
      </w:r>
      <w:r w:rsidR="008162C1">
        <w:t>P</w:t>
      </w:r>
      <w:r w:rsidRPr="00A86070">
        <w:t xml:space="preserve">ersons relied on to meet the </w:t>
      </w:r>
      <w:r w:rsidR="008162C1">
        <w:t>C</w:t>
      </w:r>
      <w:r w:rsidRPr="00A86070">
        <w:t xml:space="preserve">onditions of </w:t>
      </w:r>
      <w:r w:rsidR="008162C1">
        <w:t>P</w:t>
      </w:r>
      <w:r w:rsidRPr="00A86070">
        <w:t xml:space="preserve">articipation, or proposed sub-contractors are listed on the Cabinet Office debarment list. To the extent that any such entities are listed on the debarment list, the </w:t>
      </w:r>
      <w:r w:rsidR="00F767ED">
        <w:t>Trust</w:t>
      </w:r>
      <w:r w:rsidRPr="00A86070">
        <w:t xml:space="preserve"> will consider whether to exclude the Supplier from participating in the Procurement in accordance with its obligations under the Act. </w:t>
      </w:r>
    </w:p>
    <w:p w14:paraId="2B96FE01" w14:textId="272C3060" w:rsidR="00A86070" w:rsidRPr="00A86070" w:rsidRDefault="00A86070" w:rsidP="00A86070">
      <w:pPr>
        <w:pStyle w:val="Level2"/>
      </w:pPr>
      <w:r w:rsidRPr="00A86070">
        <w:rPr>
          <w:rFonts w:eastAsia="Helvetica Neue Light"/>
          <w:color w:val="000000"/>
        </w:rPr>
        <w:t xml:space="preserve">In addition, the </w:t>
      </w:r>
      <w:r w:rsidR="00F767ED">
        <w:rPr>
          <w:rFonts w:eastAsia="Helvetica Neue Light"/>
          <w:color w:val="000000"/>
        </w:rPr>
        <w:t>Trust</w:t>
      </w:r>
      <w:r w:rsidRPr="00A86070">
        <w:rPr>
          <w:rFonts w:eastAsia="Helvetica Neue Light"/>
          <w:color w:val="000000"/>
        </w:rPr>
        <w:t xml:space="preserve"> will consider whether any Supplier or related persons within its corporate group, </w:t>
      </w:r>
      <w:r w:rsidR="008162C1">
        <w:rPr>
          <w:rFonts w:eastAsia="Helvetica Neue Light"/>
          <w:color w:val="000000"/>
        </w:rPr>
        <w:t>A</w:t>
      </w:r>
      <w:r w:rsidRPr="00A86070">
        <w:rPr>
          <w:rFonts w:eastAsia="Helvetica Neue Light"/>
          <w:color w:val="000000"/>
        </w:rPr>
        <w:t xml:space="preserve">ssociated </w:t>
      </w:r>
      <w:r w:rsidR="008162C1">
        <w:rPr>
          <w:rFonts w:eastAsia="Helvetica Neue Light"/>
          <w:color w:val="000000"/>
        </w:rPr>
        <w:t>P</w:t>
      </w:r>
      <w:r w:rsidRPr="00A86070">
        <w:rPr>
          <w:rFonts w:eastAsia="Helvetica Neue Light"/>
          <w:color w:val="000000"/>
        </w:rPr>
        <w:t xml:space="preserve">ersons relied on to meet the </w:t>
      </w:r>
      <w:r w:rsidR="008162C1">
        <w:rPr>
          <w:rFonts w:eastAsia="Helvetica Neue Light"/>
          <w:color w:val="000000"/>
        </w:rPr>
        <w:t>C</w:t>
      </w:r>
      <w:r w:rsidRPr="00A86070">
        <w:rPr>
          <w:rFonts w:eastAsia="Helvetica Neue Light"/>
          <w:color w:val="000000"/>
        </w:rPr>
        <w:t xml:space="preserve">onditions of </w:t>
      </w:r>
      <w:r w:rsidR="008162C1">
        <w:rPr>
          <w:rFonts w:eastAsia="Helvetica Neue Light"/>
          <w:color w:val="000000"/>
        </w:rPr>
        <w:t>P</w:t>
      </w:r>
      <w:r w:rsidRPr="00A86070">
        <w:rPr>
          <w:rFonts w:eastAsia="Helvetica Neue Light"/>
          <w:color w:val="000000"/>
        </w:rPr>
        <w:t xml:space="preserve">articipation, or proposed sub-contractors are </w:t>
      </w:r>
      <w:r w:rsidR="008162C1">
        <w:rPr>
          <w:rFonts w:eastAsia="Helvetica Neue Light"/>
          <w:color w:val="000000"/>
        </w:rPr>
        <w:t>E</w:t>
      </w:r>
      <w:r w:rsidR="008162C1" w:rsidRPr="00A86070">
        <w:rPr>
          <w:rFonts w:eastAsia="Helvetica Neue Light"/>
          <w:color w:val="000000"/>
        </w:rPr>
        <w:t>xclud</w:t>
      </w:r>
      <w:r w:rsidR="008162C1">
        <w:rPr>
          <w:rFonts w:eastAsia="Helvetica Neue Light"/>
          <w:color w:val="000000"/>
        </w:rPr>
        <w:t>ed</w:t>
      </w:r>
      <w:r w:rsidR="008162C1" w:rsidRPr="00A86070">
        <w:rPr>
          <w:rFonts w:eastAsia="Helvetica Neue Light"/>
          <w:color w:val="000000"/>
        </w:rPr>
        <w:t xml:space="preserve"> </w:t>
      </w:r>
      <w:r w:rsidR="008162C1">
        <w:rPr>
          <w:rFonts w:eastAsia="Helvetica Neue Light"/>
          <w:color w:val="000000"/>
        </w:rPr>
        <w:t xml:space="preserve">Suppliers </w:t>
      </w:r>
      <w:r w:rsidR="008162C1" w:rsidRPr="00A86070">
        <w:rPr>
          <w:rFonts w:eastAsia="Helvetica Neue Light"/>
          <w:color w:val="000000"/>
        </w:rPr>
        <w:t xml:space="preserve">or </w:t>
      </w:r>
      <w:r w:rsidR="008162C1">
        <w:rPr>
          <w:rFonts w:eastAsia="Helvetica Neue Light"/>
          <w:color w:val="000000"/>
        </w:rPr>
        <w:t>E</w:t>
      </w:r>
      <w:r w:rsidR="008162C1" w:rsidRPr="00A86070">
        <w:rPr>
          <w:rFonts w:eastAsia="Helvetica Neue Light"/>
          <w:color w:val="000000"/>
        </w:rPr>
        <w:t>xcludable Supplier</w:t>
      </w:r>
      <w:r w:rsidR="008162C1">
        <w:rPr>
          <w:rFonts w:eastAsia="Helvetica Neue Light"/>
          <w:color w:val="000000"/>
        </w:rPr>
        <w:t>s</w:t>
      </w:r>
      <w:r w:rsidRPr="00A86070">
        <w:rPr>
          <w:rFonts w:eastAsia="Helvetica Neue Light"/>
          <w:color w:val="000000"/>
        </w:rPr>
        <w:t xml:space="preserve">, and before the </w:t>
      </w:r>
      <w:r w:rsidR="00F767ED">
        <w:rPr>
          <w:rFonts w:eastAsia="Helvetica Neue Light"/>
          <w:color w:val="000000"/>
        </w:rPr>
        <w:t>Trust</w:t>
      </w:r>
      <w:r w:rsidRPr="00A86070">
        <w:rPr>
          <w:rFonts w:eastAsia="Helvetica Neue Light"/>
          <w:color w:val="000000"/>
        </w:rPr>
        <w:t xml:space="preserve"> determines that a Supplier is an </w:t>
      </w:r>
      <w:r w:rsidR="008162C1">
        <w:rPr>
          <w:rFonts w:eastAsia="Helvetica Neue Light"/>
          <w:color w:val="000000"/>
        </w:rPr>
        <w:t>E</w:t>
      </w:r>
      <w:r w:rsidRPr="00A86070">
        <w:rPr>
          <w:rFonts w:eastAsia="Helvetica Neue Light"/>
          <w:color w:val="000000"/>
        </w:rPr>
        <w:t>xclud</w:t>
      </w:r>
      <w:r w:rsidR="008162C1">
        <w:rPr>
          <w:rFonts w:eastAsia="Helvetica Neue Light"/>
          <w:color w:val="000000"/>
        </w:rPr>
        <w:t>ed</w:t>
      </w:r>
      <w:r w:rsidRPr="00A86070">
        <w:rPr>
          <w:rFonts w:eastAsia="Helvetica Neue Light"/>
          <w:color w:val="000000"/>
        </w:rPr>
        <w:t xml:space="preserve"> </w:t>
      </w:r>
      <w:r w:rsidR="008162C1">
        <w:rPr>
          <w:rFonts w:eastAsia="Helvetica Neue Light"/>
          <w:color w:val="000000"/>
        </w:rPr>
        <w:t xml:space="preserve">Suppliers </w:t>
      </w:r>
      <w:r w:rsidRPr="00A86070">
        <w:rPr>
          <w:rFonts w:eastAsia="Helvetica Neue Light"/>
          <w:color w:val="000000"/>
        </w:rPr>
        <w:t xml:space="preserve">or </w:t>
      </w:r>
      <w:r w:rsidR="008162C1">
        <w:rPr>
          <w:rFonts w:eastAsia="Helvetica Neue Light"/>
          <w:color w:val="000000"/>
        </w:rPr>
        <w:t>E</w:t>
      </w:r>
      <w:r w:rsidRPr="00A86070">
        <w:rPr>
          <w:rFonts w:eastAsia="Helvetica Neue Light"/>
          <w:color w:val="000000"/>
        </w:rPr>
        <w:t>xcludable Supplier</w:t>
      </w:r>
      <w:r w:rsidR="008162C1">
        <w:rPr>
          <w:rFonts w:eastAsia="Helvetica Neue Light"/>
          <w:color w:val="000000"/>
        </w:rPr>
        <w:t>s</w:t>
      </w:r>
      <w:r w:rsidRPr="00A86070">
        <w:rPr>
          <w:rFonts w:eastAsia="Helvetica Neue Light"/>
          <w:color w:val="000000"/>
        </w:rPr>
        <w:t xml:space="preserve">, it will provide the Supplier reasonable opportunity to make representations and provide evidence as is proportionate in the circumstances. If the Supplier is an </w:t>
      </w:r>
      <w:r w:rsidR="008162C1">
        <w:rPr>
          <w:rFonts w:eastAsia="Helvetica Neue Light"/>
          <w:color w:val="000000"/>
        </w:rPr>
        <w:t>E</w:t>
      </w:r>
      <w:r w:rsidR="008162C1" w:rsidRPr="00A86070">
        <w:rPr>
          <w:rFonts w:eastAsia="Helvetica Neue Light"/>
          <w:color w:val="000000"/>
        </w:rPr>
        <w:t>xclud</w:t>
      </w:r>
      <w:r w:rsidR="008162C1">
        <w:rPr>
          <w:rFonts w:eastAsia="Helvetica Neue Light"/>
          <w:color w:val="000000"/>
        </w:rPr>
        <w:t>ed</w:t>
      </w:r>
      <w:r w:rsidR="008162C1" w:rsidRPr="00A86070">
        <w:rPr>
          <w:rFonts w:eastAsia="Helvetica Neue Light"/>
          <w:color w:val="000000"/>
        </w:rPr>
        <w:t xml:space="preserve"> </w:t>
      </w:r>
      <w:r w:rsidR="008162C1">
        <w:rPr>
          <w:rFonts w:eastAsia="Helvetica Neue Light"/>
          <w:color w:val="000000"/>
        </w:rPr>
        <w:t xml:space="preserve">Supplier </w:t>
      </w:r>
      <w:r w:rsidR="008162C1" w:rsidRPr="00A86070">
        <w:rPr>
          <w:rFonts w:eastAsia="Helvetica Neue Light"/>
          <w:color w:val="000000"/>
        </w:rPr>
        <w:t xml:space="preserve">or </w:t>
      </w:r>
      <w:r w:rsidR="008162C1">
        <w:rPr>
          <w:rFonts w:eastAsia="Helvetica Neue Light"/>
          <w:color w:val="000000"/>
        </w:rPr>
        <w:t>E</w:t>
      </w:r>
      <w:r w:rsidR="008162C1" w:rsidRPr="00A86070">
        <w:rPr>
          <w:rFonts w:eastAsia="Helvetica Neue Light"/>
          <w:color w:val="000000"/>
        </w:rPr>
        <w:t>xcludable Supplier</w:t>
      </w:r>
      <w:r w:rsidRPr="00A86070">
        <w:rPr>
          <w:rFonts w:eastAsia="Helvetica Neue Light"/>
          <w:color w:val="000000"/>
        </w:rPr>
        <w:t xml:space="preserve"> only by virtue of an </w:t>
      </w:r>
      <w:r w:rsidR="008162C1">
        <w:rPr>
          <w:rFonts w:eastAsia="Helvetica Neue Light"/>
          <w:color w:val="000000"/>
        </w:rPr>
        <w:t>A</w:t>
      </w:r>
      <w:r w:rsidRPr="00A86070">
        <w:rPr>
          <w:rFonts w:eastAsia="Helvetica Neue Light"/>
          <w:color w:val="000000"/>
        </w:rPr>
        <w:t xml:space="preserve">ssociated </w:t>
      </w:r>
      <w:r w:rsidR="008162C1">
        <w:rPr>
          <w:rFonts w:eastAsia="Helvetica Neue Light"/>
          <w:color w:val="000000"/>
        </w:rPr>
        <w:t>P</w:t>
      </w:r>
      <w:r w:rsidRPr="00A86070">
        <w:rPr>
          <w:rFonts w:eastAsia="Helvetica Neue Light"/>
          <w:color w:val="000000"/>
        </w:rPr>
        <w:t xml:space="preserve">erson or proposed sub-contractor, the </w:t>
      </w:r>
      <w:r w:rsidR="00F767ED">
        <w:rPr>
          <w:rFonts w:eastAsia="Helvetica Neue Light"/>
          <w:color w:val="000000"/>
        </w:rPr>
        <w:t>Trust</w:t>
      </w:r>
      <w:r w:rsidRPr="00A86070">
        <w:rPr>
          <w:rFonts w:eastAsia="Helvetica Neue Light"/>
          <w:color w:val="000000"/>
        </w:rPr>
        <w:t xml:space="preserve"> will notify the Supplier of its intention to exclude the Supplier and provide the Supplier with reasonable opportunity to replace the associated person or sub-contractor. If as a consequence of this process the </w:t>
      </w:r>
      <w:r w:rsidR="00F767ED">
        <w:rPr>
          <w:rFonts w:eastAsia="Helvetica Neue Light"/>
          <w:color w:val="000000"/>
        </w:rPr>
        <w:t>Trust</w:t>
      </w:r>
      <w:r w:rsidRPr="00A86070">
        <w:rPr>
          <w:rFonts w:eastAsia="Helvetica Neue Light"/>
          <w:color w:val="000000"/>
        </w:rPr>
        <w:t xml:space="preserve"> excludes the Supplier from participating in the Procurement, or is aware of an </w:t>
      </w:r>
      <w:r w:rsidR="008162C1">
        <w:rPr>
          <w:rFonts w:eastAsia="Helvetica Neue Light"/>
          <w:color w:val="000000"/>
        </w:rPr>
        <w:t>A</w:t>
      </w:r>
      <w:r w:rsidRPr="00A86070">
        <w:rPr>
          <w:rFonts w:eastAsia="Helvetica Neue Light"/>
          <w:color w:val="000000"/>
        </w:rPr>
        <w:t xml:space="preserve">ssociated </w:t>
      </w:r>
      <w:r w:rsidR="008162C1">
        <w:rPr>
          <w:rFonts w:eastAsia="Helvetica Neue Light"/>
          <w:color w:val="000000"/>
        </w:rPr>
        <w:t>P</w:t>
      </w:r>
      <w:r w:rsidRPr="00A86070">
        <w:rPr>
          <w:rFonts w:eastAsia="Helvetica Neue Light"/>
          <w:color w:val="000000"/>
        </w:rPr>
        <w:t>erson or sub-contractor having been replaced, it will give notice of this fact within 30 days of its decision to the Procurement Review Unit (PRU).</w:t>
      </w:r>
    </w:p>
    <w:p w14:paraId="27FBC86A" w14:textId="2E9B4B3A" w:rsidR="00A86070" w:rsidRPr="00A86070" w:rsidRDefault="00A86070" w:rsidP="00A86070">
      <w:pPr>
        <w:pStyle w:val="Level2"/>
      </w:pPr>
      <w:r w:rsidRPr="00A86070">
        <w:rPr>
          <w:rFonts w:eastAsia="Helvetica Neue Light"/>
          <w:color w:val="000000"/>
        </w:rPr>
        <w:t xml:space="preserve">The </w:t>
      </w:r>
      <w:r w:rsidR="00F767ED">
        <w:rPr>
          <w:rFonts w:eastAsia="Helvetica Neue Light"/>
          <w:color w:val="000000"/>
        </w:rPr>
        <w:t>Trust</w:t>
      </w:r>
      <w:r w:rsidRPr="00A86070">
        <w:rPr>
          <w:rFonts w:eastAsia="Helvetica Neue Light"/>
          <w:color w:val="000000"/>
        </w:rPr>
        <w:t xml:space="preserve"> will also undertake a review of the completed PSQ with reference to any information held on the Central Digital Platform. Responses to any </w:t>
      </w:r>
      <w:r w:rsidR="008162C1">
        <w:rPr>
          <w:rFonts w:eastAsia="Helvetica Neue Light"/>
          <w:color w:val="000000"/>
        </w:rPr>
        <w:t>C</w:t>
      </w:r>
      <w:r w:rsidRPr="00A86070">
        <w:rPr>
          <w:rFonts w:eastAsia="Helvetica Neue Light"/>
          <w:color w:val="000000"/>
        </w:rPr>
        <w:t xml:space="preserve">onditions of </w:t>
      </w:r>
      <w:r w:rsidR="008162C1">
        <w:rPr>
          <w:rFonts w:eastAsia="Helvetica Neue Light"/>
          <w:color w:val="000000"/>
        </w:rPr>
        <w:t>P</w:t>
      </w:r>
      <w:r w:rsidRPr="00A86070">
        <w:rPr>
          <w:rFonts w:eastAsia="Helvetica Neue Light"/>
          <w:color w:val="000000"/>
        </w:rPr>
        <w:t>articipation will be assessed in accordance with the selection process and any selection criteria as set out in the Tender Notice, PSQ and described in this document.</w:t>
      </w:r>
    </w:p>
    <w:p w14:paraId="107B2A1C" w14:textId="2C51C8FF" w:rsidR="00A86070" w:rsidRPr="00A86070" w:rsidRDefault="00A86070" w:rsidP="00A86070">
      <w:pPr>
        <w:pStyle w:val="Level2"/>
      </w:pPr>
      <w:r w:rsidRPr="00A86070">
        <w:rPr>
          <w:rFonts w:eastAsia="Helvetica Neue Light"/>
          <w:color w:val="000000"/>
        </w:rPr>
        <w:t xml:space="preserve">Suppliers should note that the </w:t>
      </w:r>
      <w:r w:rsidR="00DA171D">
        <w:rPr>
          <w:rFonts w:eastAsia="Helvetica Neue Light"/>
          <w:color w:val="000000"/>
        </w:rPr>
        <w:t>Trust</w:t>
      </w:r>
      <w:r w:rsidRPr="00A86070">
        <w:rPr>
          <w:rFonts w:eastAsia="Helvetica Neue Light"/>
          <w:color w:val="000000"/>
        </w:rPr>
        <w:t xml:space="preserve"> reserves the right to re-assess any response to the PSQ, in light of any new relevant information that comes to the </w:t>
      </w:r>
      <w:r w:rsidR="00DA171D">
        <w:rPr>
          <w:rFonts w:eastAsia="Helvetica Neue Light"/>
          <w:color w:val="000000"/>
        </w:rPr>
        <w:t>Trust’s</w:t>
      </w:r>
      <w:r w:rsidRPr="00A86070">
        <w:rPr>
          <w:rFonts w:eastAsia="Helvetica Neue Light"/>
          <w:color w:val="000000"/>
        </w:rPr>
        <w:t xml:space="preserve"> attention. Please refer to the ‘Supplier eligibility’ provisions in Appendix A: Procurement terms and conditions.</w:t>
      </w:r>
    </w:p>
    <w:p w14:paraId="600B3B5A" w14:textId="77777777" w:rsidR="00A86070" w:rsidRPr="00A86070" w:rsidRDefault="00A86070" w:rsidP="00A86070">
      <w:pPr>
        <w:suppressAutoHyphens/>
        <w:adjustRightInd/>
        <w:spacing w:after="240"/>
        <w:jc w:val="both"/>
        <w:rPr>
          <w:rFonts w:eastAsia="Helvetica Neue Light" w:cs="Arial"/>
          <w:b/>
          <w:bCs/>
          <w:color w:val="000000"/>
          <w:u w:val="single"/>
        </w:rPr>
      </w:pPr>
      <w:r w:rsidRPr="00A86070">
        <w:rPr>
          <w:rFonts w:eastAsia="Helvetica Neue Light" w:cs="Arial"/>
          <w:b/>
          <w:bCs/>
          <w:color w:val="000000"/>
          <w:u w:val="single"/>
        </w:rPr>
        <w:t>Step 3:</w:t>
      </w:r>
    </w:p>
    <w:p w14:paraId="29F0DAF7" w14:textId="3D97E465" w:rsidR="00A86070" w:rsidRPr="00A86070" w:rsidRDefault="00A86070" w:rsidP="00A86070">
      <w:pPr>
        <w:pStyle w:val="Level2"/>
      </w:pPr>
      <w:r w:rsidRPr="00A86070">
        <w:t xml:space="preserve">Once the </w:t>
      </w:r>
      <w:r w:rsidR="00DA171D">
        <w:t>Trust</w:t>
      </w:r>
      <w:r w:rsidRPr="00A86070">
        <w:t xml:space="preserve"> has evaluated the PSQ, the </w:t>
      </w:r>
      <w:r w:rsidR="00DA171D">
        <w:t>Trust</w:t>
      </w:r>
      <w:r w:rsidRPr="00A86070">
        <w:t xml:space="preserve"> will then evaluate the Technical and Commercial envelopes of Suppliers’ Tender responses in order to identify the Supplier</w:t>
      </w:r>
      <w:r w:rsidR="00D03394">
        <w:t>s</w:t>
      </w:r>
      <w:r w:rsidRPr="00A86070">
        <w:t xml:space="preserve"> which ha</w:t>
      </w:r>
      <w:r w:rsidR="00D03394">
        <w:t>ve</w:t>
      </w:r>
      <w:r w:rsidRPr="00A86070">
        <w:t xml:space="preserve"> submitted the most advantageous tender</w:t>
      </w:r>
      <w:r w:rsidR="00D03394">
        <w:t>s</w:t>
      </w:r>
      <w:r w:rsidRPr="00A86070">
        <w:t xml:space="preserve"> in accordance with the assessment methodology and award criteria set out in the Tender Notice and described in this document. In carrying out this assessment, the </w:t>
      </w:r>
      <w:r w:rsidR="00DA171D">
        <w:t>Trust</w:t>
      </w:r>
      <w:r w:rsidRPr="00A86070">
        <w:t xml:space="preserve"> will disregard any tender from </w:t>
      </w:r>
      <w:r w:rsidRPr="00A86070">
        <w:lastRenderedPageBreak/>
        <w:t xml:space="preserve">a Supplier that does not satisfy the </w:t>
      </w:r>
      <w:r w:rsidR="008162C1">
        <w:t>C</w:t>
      </w:r>
      <w:r w:rsidRPr="00A86070">
        <w:t xml:space="preserve">onditions of </w:t>
      </w:r>
      <w:r w:rsidR="008162C1">
        <w:t>P</w:t>
      </w:r>
      <w:r w:rsidRPr="00A86070">
        <w:t xml:space="preserve">articipation. The </w:t>
      </w:r>
      <w:r w:rsidR="00DA171D">
        <w:t>Trust</w:t>
      </w:r>
      <w:r w:rsidRPr="00A86070">
        <w:t xml:space="preserve"> may also disregard a tender:</w:t>
      </w:r>
    </w:p>
    <w:p w14:paraId="180D0575" w14:textId="7A472FE2" w:rsidR="00A86070" w:rsidRPr="00A86070" w:rsidRDefault="00A86070" w:rsidP="00A86070">
      <w:pPr>
        <w:pStyle w:val="Level3"/>
      </w:pPr>
      <w:r w:rsidRPr="00A86070">
        <w:t>from a Supplier that is not a United Kingdom Supplier or a treaty state Supplier or that intends to sub-contract the performance of all or part of the Contract to a Supplier that is not a United Kingdom Supplier or a treaty state Supplier; or</w:t>
      </w:r>
    </w:p>
    <w:p w14:paraId="4697172B" w14:textId="18A08EC9" w:rsidR="00A86070" w:rsidRPr="00A86070" w:rsidRDefault="00A86070" w:rsidP="00A86070">
      <w:pPr>
        <w:pStyle w:val="Level3"/>
      </w:pPr>
      <w:r w:rsidRPr="00A86070">
        <w:t xml:space="preserve">if the tender breaches a procedural requirement set out in the Tender Notice or associated tender documents; or </w:t>
      </w:r>
    </w:p>
    <w:p w14:paraId="2D60B945" w14:textId="767E1D3F" w:rsidR="00A86070" w:rsidRPr="00A86070" w:rsidRDefault="00A86070" w:rsidP="00A86070">
      <w:pPr>
        <w:pStyle w:val="Level3"/>
      </w:pPr>
      <w:r w:rsidRPr="00A86070">
        <w:t xml:space="preserve">if the tender offers a price that the </w:t>
      </w:r>
      <w:r w:rsidR="00DA171D">
        <w:t>Trust</w:t>
      </w:r>
      <w:r w:rsidRPr="00A86070">
        <w:t xml:space="preserve"> considers to be abnormally low for the performance of the Contract. Where the </w:t>
      </w:r>
      <w:r w:rsidR="00DA171D">
        <w:t>Trust</w:t>
      </w:r>
      <w:r w:rsidRPr="00A86070">
        <w:t xml:space="preserve"> considers that a price offered by a Supplier in its tender is abnormally low, the </w:t>
      </w:r>
      <w:r w:rsidR="00DA171D">
        <w:t>Trust</w:t>
      </w:r>
      <w:r w:rsidRPr="00A86070">
        <w:t xml:space="preserve"> will notify the Supplier and give the Supplier reasonable opportunity to demonstrate that it will be able to perform the contract for the price offered. The </w:t>
      </w:r>
      <w:r w:rsidR="00DA171D">
        <w:t>Trust</w:t>
      </w:r>
      <w:r w:rsidRPr="00A86070">
        <w:t xml:space="preserve"> will only disregard the tender if the Supplier cannot satisfactorily demonstrate that it will be able to perform the Contract for the price offered.</w:t>
      </w:r>
    </w:p>
    <w:p w14:paraId="22E71B10" w14:textId="77777777" w:rsidR="00A86070" w:rsidRPr="00A86070" w:rsidRDefault="00A86070" w:rsidP="00A86070">
      <w:pPr>
        <w:suppressAutoHyphens/>
        <w:adjustRightInd/>
        <w:spacing w:after="240"/>
        <w:jc w:val="both"/>
        <w:rPr>
          <w:rFonts w:eastAsia="Helvetica Neue Light" w:cs="Arial"/>
          <w:b/>
          <w:bCs/>
          <w:color w:val="000000"/>
          <w:u w:val="single"/>
        </w:rPr>
      </w:pPr>
      <w:r w:rsidRPr="00A86070">
        <w:rPr>
          <w:rFonts w:eastAsia="Helvetica Neue Light" w:cs="Arial"/>
          <w:b/>
          <w:bCs/>
          <w:color w:val="000000"/>
          <w:u w:val="single"/>
        </w:rPr>
        <w:t>Step 4:</w:t>
      </w:r>
    </w:p>
    <w:p w14:paraId="17060B22" w14:textId="2CB0A4FA" w:rsidR="00A86070" w:rsidRPr="00A86070" w:rsidRDefault="00A86070" w:rsidP="00A86070">
      <w:pPr>
        <w:pStyle w:val="Level2"/>
      </w:pPr>
      <w:r w:rsidRPr="00A86070">
        <w:t xml:space="preserve">Once the assessment has concluded, the </w:t>
      </w:r>
      <w:r w:rsidR="00DA171D">
        <w:t>Trust</w:t>
      </w:r>
      <w:r w:rsidRPr="00A86070">
        <w:t xml:space="preserve"> will provide an assessment summary to all Suppliers whose tenders have been assessed to:</w:t>
      </w:r>
    </w:p>
    <w:p w14:paraId="5DE5D46B" w14:textId="3127389F" w:rsidR="00A86070" w:rsidRPr="00A86070" w:rsidRDefault="00A86070" w:rsidP="00A86070">
      <w:pPr>
        <w:pStyle w:val="Level3"/>
      </w:pPr>
      <w:r w:rsidRPr="00A86070">
        <w:t>inform them whether they have been successful in being awarded the Contract;</w:t>
      </w:r>
    </w:p>
    <w:p w14:paraId="5512E822" w14:textId="54975A66" w:rsidR="00A86070" w:rsidRPr="00A86070" w:rsidRDefault="00A86070" w:rsidP="00A86070">
      <w:pPr>
        <w:pStyle w:val="Level3"/>
      </w:pPr>
      <w:r w:rsidRPr="00A86070">
        <w:t>provide an explanation of the assessment of the Supplier’s tender against the relevant award criteria, in accordance with the requirements of the Act; and</w:t>
      </w:r>
    </w:p>
    <w:p w14:paraId="51604355" w14:textId="7BC3227B" w:rsidR="00A86070" w:rsidRPr="00A86070" w:rsidRDefault="00A86070" w:rsidP="00A86070">
      <w:pPr>
        <w:pStyle w:val="Level3"/>
      </w:pPr>
      <w:r w:rsidRPr="00A86070">
        <w:t xml:space="preserve">where different to the Supplier concerned, provide information in respect of the most advantageous tender submitted, including details of the assessment of this tender against the relevant award criteria and the Supplier’s name. </w:t>
      </w:r>
    </w:p>
    <w:p w14:paraId="7503EBB1" w14:textId="4292619C" w:rsidR="00A86070" w:rsidRPr="00A86070" w:rsidRDefault="00A86070" w:rsidP="00A86070">
      <w:pPr>
        <w:pStyle w:val="Level2"/>
      </w:pPr>
      <w:r w:rsidRPr="00A86070">
        <w:t xml:space="preserve">Once the assessment summaries have been provided to the Suppliers that submitted final tenders, the </w:t>
      </w:r>
      <w:r w:rsidR="00DA171D">
        <w:t>Trust</w:t>
      </w:r>
      <w:r w:rsidRPr="00A86070">
        <w:t xml:space="preserve"> will also publish a contract award notice on the Central Digital Platform to commence the mandatory standstill period.</w:t>
      </w:r>
    </w:p>
    <w:p w14:paraId="075AA16D" w14:textId="3C4FE5A7" w:rsidR="00A86070" w:rsidRPr="00991E83" w:rsidRDefault="00A86070" w:rsidP="00991E83">
      <w:pPr>
        <w:pStyle w:val="Level2"/>
      </w:pPr>
      <w:r w:rsidRPr="00A86070">
        <w:t xml:space="preserve">Subject to completion of the mandatory standstill period, the Procurement will end with the </w:t>
      </w:r>
      <w:r w:rsidR="00DA171D">
        <w:t>Trust</w:t>
      </w:r>
      <w:r w:rsidRPr="00A86070">
        <w:t xml:space="preserve"> entering into the </w:t>
      </w:r>
      <w:r w:rsidR="00D03394">
        <w:t>framework agreement</w:t>
      </w:r>
      <w:r w:rsidR="00D03394" w:rsidRPr="00A86070">
        <w:t xml:space="preserve"> </w:t>
      </w:r>
      <w:r w:rsidRPr="00A86070">
        <w:t>with the preferred Supplier</w:t>
      </w:r>
      <w:r w:rsidR="009A3081">
        <w:t>s</w:t>
      </w:r>
      <w:r w:rsidRPr="00A86070">
        <w:t xml:space="preserve"> and publication of a Contract Details Notice on the Central Digital Platform. Where appropriate, a copy of the </w:t>
      </w:r>
      <w:r w:rsidR="009A3081">
        <w:t>framework agreement</w:t>
      </w:r>
      <w:r w:rsidR="009A3081" w:rsidRPr="00A86070">
        <w:t xml:space="preserve"> </w:t>
      </w:r>
      <w:r w:rsidRPr="00A86070">
        <w:t>may also be published on the Central Digital Platform.</w:t>
      </w:r>
    </w:p>
    <w:p w14:paraId="6691DA01" w14:textId="77777777" w:rsidR="00A86070" w:rsidRDefault="00A86070" w:rsidP="00A86070">
      <w:pPr>
        <w:pStyle w:val="Level2"/>
        <w:numPr>
          <w:ilvl w:val="0"/>
          <w:numId w:val="0"/>
        </w:numPr>
      </w:pPr>
    </w:p>
    <w:p w14:paraId="2210D27F" w14:textId="36D4826F" w:rsidR="00A86070" w:rsidRDefault="00A86070">
      <w:pPr>
        <w:adjustRightInd/>
        <w:spacing w:after="160" w:line="259" w:lineRule="auto"/>
        <w:rPr>
          <w:rFonts w:eastAsia="Arial" w:cs="Arial"/>
        </w:rPr>
      </w:pPr>
      <w:r>
        <w:br w:type="page"/>
      </w:r>
    </w:p>
    <w:p w14:paraId="10EA3E92" w14:textId="31A80C24" w:rsidR="00BD5016" w:rsidRDefault="00A86070" w:rsidP="00AE3CDC">
      <w:pPr>
        <w:pStyle w:val="Level1Heading"/>
        <w:numPr>
          <w:ilvl w:val="0"/>
          <w:numId w:val="0"/>
        </w:numPr>
        <w:jc w:val="center"/>
      </w:pPr>
      <w:bookmarkStart w:id="6" w:name="_Toc197441905"/>
      <w:r>
        <w:lastRenderedPageBreak/>
        <w:t>SECTION</w:t>
      </w:r>
      <w:r w:rsidRPr="00E5488A">
        <w:t xml:space="preserve"> </w:t>
      </w:r>
      <w:r>
        <w:t>6</w:t>
      </w:r>
      <w:r w:rsidRPr="00E5488A">
        <w:t xml:space="preserve"> </w:t>
      </w:r>
      <w:r>
        <w:t>–</w:t>
      </w:r>
      <w:r w:rsidRPr="00E5488A">
        <w:t xml:space="preserve"> </w:t>
      </w:r>
      <w:r>
        <w:t>PROCUREMENT TIMETABLE</w:t>
      </w:r>
      <w:bookmarkEnd w:id="1"/>
      <w:bookmarkEnd w:id="6"/>
    </w:p>
    <w:p w14:paraId="14FF6D1B" w14:textId="2E0CDD76" w:rsidR="00BD5016" w:rsidRDefault="002D3040" w:rsidP="00AA0F4D">
      <w:pPr>
        <w:pStyle w:val="Level2"/>
        <w:numPr>
          <w:ilvl w:val="1"/>
          <w:numId w:val="21"/>
        </w:numPr>
      </w:pPr>
      <w:r>
        <w:t>The timetable for the Procurement is set out in the following table (the “Procurement Timetable”). Deadlines for the submission of responses to the Trust are shown in bold. Failure to meet these deadlines will result in a Supplier’s submission not being considered unless</w:t>
      </w:r>
      <w:r w:rsidR="007A736B">
        <w:t xml:space="preserve"> the Trust considers (in its absolute discretion)</w:t>
      </w:r>
      <w:r>
        <w:t xml:space="preserve"> there are exceptional circumstances</w:t>
      </w:r>
      <w:r w:rsidR="007A736B">
        <w:t xml:space="preserve"> outside of the Supplier’s control that have resulted in the Supplier missing a deadline</w:t>
      </w:r>
      <w:r>
        <w:t>.</w:t>
      </w:r>
    </w:p>
    <w:tbl>
      <w:tblPr>
        <w:tblStyle w:val="TableGrid"/>
        <w:tblW w:w="0" w:type="auto"/>
        <w:tblLook w:val="04A0" w:firstRow="1" w:lastRow="0" w:firstColumn="1" w:lastColumn="0" w:noHBand="0" w:noVBand="1"/>
      </w:tblPr>
      <w:tblGrid>
        <w:gridCol w:w="4249"/>
        <w:gridCol w:w="4249"/>
      </w:tblGrid>
      <w:tr w:rsidR="002D3040" w14:paraId="1A1AF527" w14:textId="77777777" w:rsidTr="002D3040">
        <w:tc>
          <w:tcPr>
            <w:tcW w:w="4249" w:type="dxa"/>
            <w:shd w:val="clear" w:color="auto" w:fill="F9CFE9" w:themeFill="text1" w:themeFillTint="33"/>
          </w:tcPr>
          <w:p w14:paraId="75CA9892" w14:textId="5CA9F83A" w:rsidR="002D3040" w:rsidRPr="00212BC6" w:rsidRDefault="002D3040" w:rsidP="002D3040">
            <w:pPr>
              <w:pStyle w:val="Level2"/>
              <w:numPr>
                <w:ilvl w:val="0"/>
                <w:numId w:val="0"/>
              </w:numPr>
              <w:rPr>
                <w:b/>
                <w:bCs/>
              </w:rPr>
            </w:pPr>
            <w:r w:rsidRPr="00212BC6">
              <w:rPr>
                <w:b/>
                <w:bCs/>
              </w:rPr>
              <w:t>Procurement Activity</w:t>
            </w:r>
          </w:p>
        </w:tc>
        <w:tc>
          <w:tcPr>
            <w:tcW w:w="4249" w:type="dxa"/>
            <w:shd w:val="clear" w:color="auto" w:fill="F9CFE9" w:themeFill="text1" w:themeFillTint="33"/>
          </w:tcPr>
          <w:p w14:paraId="784C16FE" w14:textId="06D37918" w:rsidR="002D3040" w:rsidRPr="00212BC6" w:rsidRDefault="002D3040" w:rsidP="002D3040">
            <w:pPr>
              <w:pStyle w:val="Level2"/>
              <w:numPr>
                <w:ilvl w:val="0"/>
                <w:numId w:val="0"/>
              </w:numPr>
              <w:rPr>
                <w:b/>
                <w:bCs/>
              </w:rPr>
            </w:pPr>
            <w:r w:rsidRPr="00212BC6">
              <w:rPr>
                <w:b/>
                <w:bCs/>
              </w:rPr>
              <w:t>Date(s) and Time(s)</w:t>
            </w:r>
          </w:p>
        </w:tc>
      </w:tr>
      <w:tr w:rsidR="002D3040" w14:paraId="36165957" w14:textId="77777777" w:rsidTr="00212BC6">
        <w:tc>
          <w:tcPr>
            <w:tcW w:w="4249" w:type="dxa"/>
            <w:shd w:val="clear" w:color="auto" w:fill="D9D9D9" w:themeFill="background1" w:themeFillShade="D9"/>
          </w:tcPr>
          <w:p w14:paraId="173B9BC8" w14:textId="2516681E" w:rsidR="002D3040" w:rsidRDefault="00212BC6" w:rsidP="002D3040">
            <w:pPr>
              <w:pStyle w:val="Level2"/>
              <w:numPr>
                <w:ilvl w:val="0"/>
                <w:numId w:val="0"/>
              </w:numPr>
            </w:pPr>
            <w:r>
              <w:t>Issue of ITT to Suppliers</w:t>
            </w:r>
          </w:p>
        </w:tc>
        <w:tc>
          <w:tcPr>
            <w:tcW w:w="4249" w:type="dxa"/>
            <w:shd w:val="clear" w:color="auto" w:fill="D9D9D9" w:themeFill="background1" w:themeFillShade="D9"/>
          </w:tcPr>
          <w:p w14:paraId="64D40D7D" w14:textId="495771FC" w:rsidR="002D3040" w:rsidRDefault="00851A1F" w:rsidP="002D3040">
            <w:pPr>
              <w:pStyle w:val="Level2"/>
              <w:numPr>
                <w:ilvl w:val="0"/>
                <w:numId w:val="0"/>
              </w:numPr>
            </w:pPr>
            <w:r>
              <w:t>1</w:t>
            </w:r>
            <w:r w:rsidR="00DA40F9">
              <w:t>5</w:t>
            </w:r>
            <w:r w:rsidR="001F2BD9">
              <w:t xml:space="preserve"> December 2025</w:t>
            </w:r>
          </w:p>
        </w:tc>
      </w:tr>
      <w:tr w:rsidR="002D3040" w14:paraId="389D20DC" w14:textId="77777777" w:rsidTr="00212BC6">
        <w:tc>
          <w:tcPr>
            <w:tcW w:w="4249" w:type="dxa"/>
            <w:shd w:val="clear" w:color="auto" w:fill="D9D9D9" w:themeFill="background1" w:themeFillShade="D9"/>
          </w:tcPr>
          <w:p w14:paraId="126E2BC9" w14:textId="39583CA1" w:rsidR="002D3040" w:rsidRDefault="00212BC6" w:rsidP="002D3040">
            <w:pPr>
              <w:pStyle w:val="Level2"/>
              <w:numPr>
                <w:ilvl w:val="0"/>
                <w:numId w:val="0"/>
              </w:numPr>
            </w:pPr>
            <w:r>
              <w:t>Deadline for submission of Supplier clarifications</w:t>
            </w:r>
          </w:p>
        </w:tc>
        <w:tc>
          <w:tcPr>
            <w:tcW w:w="4249" w:type="dxa"/>
            <w:shd w:val="clear" w:color="auto" w:fill="D9D9D9" w:themeFill="background1" w:themeFillShade="D9"/>
          </w:tcPr>
          <w:p w14:paraId="279274F2" w14:textId="004B568C" w:rsidR="002D3040" w:rsidRDefault="00DC7035" w:rsidP="002D3040">
            <w:pPr>
              <w:pStyle w:val="Level2"/>
              <w:numPr>
                <w:ilvl w:val="0"/>
                <w:numId w:val="0"/>
              </w:numPr>
            </w:pPr>
            <w:r>
              <w:t>12</w:t>
            </w:r>
            <w:r w:rsidR="001B5D2C">
              <w:t xml:space="preserve">pm </w:t>
            </w:r>
            <w:r w:rsidR="00D101BA">
              <w:t>1</w:t>
            </w:r>
            <w:r w:rsidR="00487767">
              <w:t>6</w:t>
            </w:r>
            <w:r w:rsidR="00683F37">
              <w:t xml:space="preserve"> January 2026</w:t>
            </w:r>
          </w:p>
        </w:tc>
      </w:tr>
      <w:tr w:rsidR="002D3040" w14:paraId="62D3C381" w14:textId="77777777" w:rsidTr="00212BC6">
        <w:tc>
          <w:tcPr>
            <w:tcW w:w="4249" w:type="dxa"/>
            <w:shd w:val="clear" w:color="auto" w:fill="D9D9D9" w:themeFill="background1" w:themeFillShade="D9"/>
          </w:tcPr>
          <w:p w14:paraId="7F02738E" w14:textId="5CAEDB2F" w:rsidR="002D3040" w:rsidRPr="00331AF0" w:rsidRDefault="00212BC6" w:rsidP="002D3040">
            <w:pPr>
              <w:pStyle w:val="Level2"/>
              <w:numPr>
                <w:ilvl w:val="0"/>
                <w:numId w:val="0"/>
              </w:numPr>
              <w:rPr>
                <w:b/>
                <w:bCs/>
              </w:rPr>
            </w:pPr>
            <w:r w:rsidRPr="00331AF0">
              <w:rPr>
                <w:b/>
                <w:bCs/>
              </w:rPr>
              <w:t>Tender Return Deadline</w:t>
            </w:r>
          </w:p>
        </w:tc>
        <w:tc>
          <w:tcPr>
            <w:tcW w:w="4249" w:type="dxa"/>
            <w:shd w:val="clear" w:color="auto" w:fill="D9D9D9" w:themeFill="background1" w:themeFillShade="D9"/>
          </w:tcPr>
          <w:p w14:paraId="1C181469" w14:textId="7D39CFE3" w:rsidR="002D3040" w:rsidRPr="00331AF0" w:rsidRDefault="00CF2E1A" w:rsidP="002D3040">
            <w:pPr>
              <w:pStyle w:val="Level2"/>
              <w:numPr>
                <w:ilvl w:val="0"/>
                <w:numId w:val="0"/>
              </w:numPr>
              <w:rPr>
                <w:b/>
                <w:bCs/>
              </w:rPr>
            </w:pPr>
            <w:r>
              <w:rPr>
                <w:b/>
                <w:bCs/>
              </w:rPr>
              <w:t>12</w:t>
            </w:r>
            <w:r w:rsidR="001B5D2C" w:rsidRPr="00331AF0">
              <w:rPr>
                <w:b/>
                <w:bCs/>
              </w:rPr>
              <w:t xml:space="preserve">pm </w:t>
            </w:r>
            <w:r w:rsidR="00D0087A">
              <w:rPr>
                <w:b/>
                <w:bCs/>
              </w:rPr>
              <w:t>23</w:t>
            </w:r>
            <w:r w:rsidR="006E719D" w:rsidRPr="00331AF0">
              <w:rPr>
                <w:b/>
                <w:bCs/>
              </w:rPr>
              <w:t xml:space="preserve"> January 2026</w:t>
            </w:r>
          </w:p>
        </w:tc>
      </w:tr>
      <w:tr w:rsidR="002D3040" w14:paraId="63E360C4" w14:textId="77777777" w:rsidTr="00212BC6">
        <w:tc>
          <w:tcPr>
            <w:tcW w:w="4249" w:type="dxa"/>
            <w:shd w:val="clear" w:color="auto" w:fill="D9D9D9" w:themeFill="background1" w:themeFillShade="D9"/>
          </w:tcPr>
          <w:p w14:paraId="71001104" w14:textId="17743BDF" w:rsidR="002D3040" w:rsidRDefault="00212BC6" w:rsidP="002D3040">
            <w:pPr>
              <w:pStyle w:val="Level2"/>
              <w:numPr>
                <w:ilvl w:val="0"/>
                <w:numId w:val="0"/>
              </w:numPr>
            </w:pPr>
            <w:r>
              <w:t>Evaluation of tender responses</w:t>
            </w:r>
          </w:p>
        </w:tc>
        <w:tc>
          <w:tcPr>
            <w:tcW w:w="4249" w:type="dxa"/>
            <w:shd w:val="clear" w:color="auto" w:fill="D9D9D9" w:themeFill="background1" w:themeFillShade="D9"/>
          </w:tcPr>
          <w:p w14:paraId="2A99A889" w14:textId="225101C4" w:rsidR="002D3040" w:rsidRDefault="003B774D" w:rsidP="002D3040">
            <w:pPr>
              <w:pStyle w:val="Level2"/>
              <w:numPr>
                <w:ilvl w:val="0"/>
                <w:numId w:val="0"/>
              </w:numPr>
            </w:pPr>
            <w:r>
              <w:t xml:space="preserve">w/c </w:t>
            </w:r>
            <w:r w:rsidR="00AA790A">
              <w:t>26</w:t>
            </w:r>
            <w:r>
              <w:t xml:space="preserve"> January 2026</w:t>
            </w:r>
          </w:p>
        </w:tc>
      </w:tr>
      <w:tr w:rsidR="00212BC6" w14:paraId="17B43EF9" w14:textId="77777777" w:rsidTr="00212BC6">
        <w:tc>
          <w:tcPr>
            <w:tcW w:w="4249" w:type="dxa"/>
            <w:shd w:val="clear" w:color="auto" w:fill="D9D9D9" w:themeFill="background1" w:themeFillShade="D9"/>
          </w:tcPr>
          <w:p w14:paraId="0958725D" w14:textId="07B52BC5" w:rsidR="00212BC6" w:rsidRDefault="00212BC6" w:rsidP="002D3040">
            <w:pPr>
              <w:pStyle w:val="Level2"/>
              <w:numPr>
                <w:ilvl w:val="0"/>
                <w:numId w:val="0"/>
              </w:numPr>
            </w:pPr>
            <w:r w:rsidRPr="005B4BFF">
              <w:t>Anticipated date for the Trust to issue assessment summaries to each Supplier that submitted a response to this ITT</w:t>
            </w:r>
          </w:p>
        </w:tc>
        <w:tc>
          <w:tcPr>
            <w:tcW w:w="4249" w:type="dxa"/>
            <w:shd w:val="clear" w:color="auto" w:fill="D9D9D9" w:themeFill="background1" w:themeFillShade="D9"/>
          </w:tcPr>
          <w:p w14:paraId="2128077E" w14:textId="1C2580A3" w:rsidR="00212BC6" w:rsidRDefault="00CC2B46" w:rsidP="002D3040">
            <w:pPr>
              <w:pStyle w:val="Level2"/>
              <w:numPr>
                <w:ilvl w:val="0"/>
                <w:numId w:val="0"/>
              </w:numPr>
            </w:pPr>
            <w:r>
              <w:t xml:space="preserve">w/c </w:t>
            </w:r>
            <w:r w:rsidR="00BF7E36">
              <w:t>02</w:t>
            </w:r>
            <w:r w:rsidR="002C05B9">
              <w:t xml:space="preserve"> </w:t>
            </w:r>
            <w:r w:rsidR="00BF7E36">
              <w:t>February</w:t>
            </w:r>
            <w:r>
              <w:t xml:space="preserve"> 2026</w:t>
            </w:r>
          </w:p>
        </w:tc>
      </w:tr>
      <w:tr w:rsidR="00212BC6" w14:paraId="3A663E07" w14:textId="77777777" w:rsidTr="00212BC6">
        <w:tc>
          <w:tcPr>
            <w:tcW w:w="4249" w:type="dxa"/>
            <w:shd w:val="clear" w:color="auto" w:fill="D9D9D9" w:themeFill="background1" w:themeFillShade="D9"/>
          </w:tcPr>
          <w:p w14:paraId="38F8301C" w14:textId="70F8B08C" w:rsidR="00212BC6" w:rsidRDefault="00212BC6" w:rsidP="002D3040">
            <w:pPr>
              <w:pStyle w:val="Level2"/>
              <w:numPr>
                <w:ilvl w:val="0"/>
                <w:numId w:val="0"/>
              </w:numPr>
            </w:pPr>
            <w:r>
              <w:t>Anticipated date for the Trust to issue contract award notice</w:t>
            </w:r>
          </w:p>
        </w:tc>
        <w:tc>
          <w:tcPr>
            <w:tcW w:w="4249" w:type="dxa"/>
            <w:shd w:val="clear" w:color="auto" w:fill="D9D9D9" w:themeFill="background1" w:themeFillShade="D9"/>
          </w:tcPr>
          <w:p w14:paraId="245A61CA" w14:textId="50E61DAE" w:rsidR="00212BC6" w:rsidRDefault="00165D7C" w:rsidP="002D3040">
            <w:pPr>
              <w:pStyle w:val="Level2"/>
              <w:numPr>
                <w:ilvl w:val="0"/>
                <w:numId w:val="0"/>
              </w:numPr>
            </w:pPr>
            <w:r>
              <w:t>0</w:t>
            </w:r>
            <w:r w:rsidR="00EE6C0B">
              <w:t>9</w:t>
            </w:r>
            <w:r w:rsidR="003A6ECC">
              <w:t xml:space="preserve"> February 2026</w:t>
            </w:r>
          </w:p>
        </w:tc>
      </w:tr>
      <w:tr w:rsidR="00212BC6" w14:paraId="2528B269" w14:textId="77777777" w:rsidTr="00212BC6">
        <w:tc>
          <w:tcPr>
            <w:tcW w:w="4249" w:type="dxa"/>
            <w:shd w:val="clear" w:color="auto" w:fill="D9D9D9" w:themeFill="background1" w:themeFillShade="D9"/>
          </w:tcPr>
          <w:p w14:paraId="70124F25" w14:textId="3E59410D" w:rsidR="00212BC6" w:rsidRDefault="00212BC6" w:rsidP="002D3040">
            <w:pPr>
              <w:pStyle w:val="Level2"/>
              <w:numPr>
                <w:ilvl w:val="0"/>
                <w:numId w:val="0"/>
              </w:numPr>
            </w:pPr>
            <w:r>
              <w:t>Standstill period ends</w:t>
            </w:r>
          </w:p>
        </w:tc>
        <w:tc>
          <w:tcPr>
            <w:tcW w:w="4249" w:type="dxa"/>
            <w:shd w:val="clear" w:color="auto" w:fill="D9D9D9" w:themeFill="background1" w:themeFillShade="D9"/>
          </w:tcPr>
          <w:p w14:paraId="09733E46" w14:textId="5BC295A6" w:rsidR="00212BC6" w:rsidRDefault="0051001F" w:rsidP="002D3040">
            <w:pPr>
              <w:pStyle w:val="Level2"/>
              <w:numPr>
                <w:ilvl w:val="0"/>
                <w:numId w:val="0"/>
              </w:numPr>
            </w:pPr>
            <w:r>
              <w:t>1</w:t>
            </w:r>
            <w:r w:rsidR="004A0E33">
              <w:t>9</w:t>
            </w:r>
            <w:r>
              <w:t xml:space="preserve"> February 2026</w:t>
            </w:r>
          </w:p>
        </w:tc>
      </w:tr>
      <w:tr w:rsidR="00212BC6" w14:paraId="6C17FB66" w14:textId="77777777" w:rsidTr="00212BC6">
        <w:tc>
          <w:tcPr>
            <w:tcW w:w="4249" w:type="dxa"/>
            <w:shd w:val="clear" w:color="auto" w:fill="D9D9D9" w:themeFill="background1" w:themeFillShade="D9"/>
          </w:tcPr>
          <w:p w14:paraId="3A3341F7" w14:textId="5751E08A" w:rsidR="00212BC6" w:rsidRDefault="00212BC6" w:rsidP="002D3040">
            <w:pPr>
              <w:pStyle w:val="Level2"/>
              <w:numPr>
                <w:ilvl w:val="0"/>
                <w:numId w:val="0"/>
              </w:numPr>
            </w:pPr>
            <w:r>
              <w:t>Contract signature (earliest)</w:t>
            </w:r>
          </w:p>
        </w:tc>
        <w:tc>
          <w:tcPr>
            <w:tcW w:w="4249" w:type="dxa"/>
            <w:shd w:val="clear" w:color="auto" w:fill="D9D9D9" w:themeFill="background1" w:themeFillShade="D9"/>
          </w:tcPr>
          <w:p w14:paraId="5B767FF7" w14:textId="30DC0C55" w:rsidR="00212BC6" w:rsidRDefault="00D8578C" w:rsidP="002D3040">
            <w:pPr>
              <w:pStyle w:val="Level2"/>
              <w:numPr>
                <w:ilvl w:val="0"/>
                <w:numId w:val="0"/>
              </w:numPr>
            </w:pPr>
            <w:r>
              <w:t>20</w:t>
            </w:r>
            <w:r w:rsidR="00E90F81">
              <w:t xml:space="preserve"> February 2026</w:t>
            </w:r>
          </w:p>
        </w:tc>
      </w:tr>
    </w:tbl>
    <w:p w14:paraId="3F70D29E" w14:textId="77777777" w:rsidR="002D3040" w:rsidRDefault="002D3040" w:rsidP="002D3040">
      <w:pPr>
        <w:pStyle w:val="Level2"/>
        <w:numPr>
          <w:ilvl w:val="0"/>
          <w:numId w:val="0"/>
        </w:numPr>
      </w:pPr>
    </w:p>
    <w:p w14:paraId="75689F5B" w14:textId="10410B4C" w:rsidR="00212BC6" w:rsidRDefault="00212BC6" w:rsidP="00212BC6">
      <w:pPr>
        <w:pStyle w:val="Level2"/>
      </w:pPr>
      <w:r>
        <w:t>The Trust reserves the right, in its absolute discretion, to amend the Procurement Timetable or extend any time period in connection with the Procurement. Any changes to the Procurement Timetable will be notified simultaneously to the Suppliers.</w:t>
      </w:r>
    </w:p>
    <w:p w14:paraId="2A5B109E" w14:textId="77777777" w:rsidR="00212BC6" w:rsidRDefault="00212BC6">
      <w:pPr>
        <w:adjustRightInd/>
        <w:spacing w:after="160" w:line="259" w:lineRule="auto"/>
        <w:rPr>
          <w:rFonts w:eastAsia="Arial" w:cs="Arial"/>
        </w:rPr>
      </w:pPr>
      <w:r>
        <w:br w:type="page"/>
      </w:r>
    </w:p>
    <w:p w14:paraId="1E94FB3C" w14:textId="5335D008" w:rsidR="00212BC6" w:rsidRDefault="00212BC6" w:rsidP="00212BC6">
      <w:pPr>
        <w:pStyle w:val="Level1Heading"/>
        <w:numPr>
          <w:ilvl w:val="0"/>
          <w:numId w:val="0"/>
        </w:numPr>
        <w:jc w:val="center"/>
      </w:pPr>
      <w:bookmarkStart w:id="7" w:name="_Toc197441906"/>
      <w:r>
        <w:lastRenderedPageBreak/>
        <w:t>SECTION</w:t>
      </w:r>
      <w:r w:rsidRPr="00E5488A">
        <w:t xml:space="preserve"> </w:t>
      </w:r>
      <w:r>
        <w:t>7</w:t>
      </w:r>
      <w:r w:rsidRPr="00E5488A">
        <w:t xml:space="preserve"> </w:t>
      </w:r>
      <w:r>
        <w:t>–</w:t>
      </w:r>
      <w:r w:rsidRPr="00E5488A">
        <w:t xml:space="preserve"> </w:t>
      </w:r>
      <w:r>
        <w:t>CONTRACT TERM</w:t>
      </w:r>
      <w:r w:rsidR="00BD5016">
        <w:t>S</w:t>
      </w:r>
      <w:bookmarkEnd w:id="7"/>
    </w:p>
    <w:p w14:paraId="401E1AB4" w14:textId="4492411B" w:rsidR="00212BC6" w:rsidRPr="00212BC6" w:rsidRDefault="00212BC6" w:rsidP="00AA0F4D">
      <w:pPr>
        <w:pStyle w:val="Level2"/>
        <w:numPr>
          <w:ilvl w:val="1"/>
          <w:numId w:val="22"/>
        </w:numPr>
      </w:pPr>
      <w:r w:rsidRPr="00212BC6">
        <w:t xml:space="preserve">The </w:t>
      </w:r>
      <w:r w:rsidR="009A3081">
        <w:t>framework</w:t>
      </w:r>
      <w:r w:rsidRPr="00212BC6">
        <w:t xml:space="preserve"> is expected to </w:t>
      </w:r>
      <w:r w:rsidR="000438E1">
        <w:t>start</w:t>
      </w:r>
      <w:r w:rsidRPr="00212BC6">
        <w:t xml:space="preserve"> </w:t>
      </w:r>
      <w:r w:rsidR="00960B4A">
        <w:t>w/c</w:t>
      </w:r>
      <w:r w:rsidRPr="00212BC6">
        <w:t xml:space="preserve"> </w:t>
      </w:r>
      <w:r w:rsidR="00E43F43">
        <w:t>23 February 2026.</w:t>
      </w:r>
    </w:p>
    <w:p w14:paraId="5DF3423C" w14:textId="0DB970EE" w:rsidR="00212BC6" w:rsidRDefault="00212BC6" w:rsidP="00AA0F4D">
      <w:pPr>
        <w:pStyle w:val="Level2"/>
        <w:numPr>
          <w:ilvl w:val="1"/>
          <w:numId w:val="22"/>
        </w:numPr>
      </w:pPr>
      <w:r w:rsidRPr="00212BC6">
        <w:t xml:space="preserve">A draft </w:t>
      </w:r>
      <w:r w:rsidR="009A3081">
        <w:t>C</w:t>
      </w:r>
      <w:r w:rsidRPr="00212BC6">
        <w:t xml:space="preserve">ontract has been provided to Suppliers with this ITT. Suppliers are required to accept the terms of the draft Contract (without amendment) as part of their Tender response (see Section 10 (The assessment process and award criteria)). </w:t>
      </w:r>
    </w:p>
    <w:p w14:paraId="652E3A18" w14:textId="7488E489" w:rsidR="009A3081" w:rsidRPr="00212BC6" w:rsidRDefault="009A3081" w:rsidP="00AA0F4D">
      <w:pPr>
        <w:pStyle w:val="Level2"/>
        <w:numPr>
          <w:ilvl w:val="1"/>
          <w:numId w:val="22"/>
        </w:numPr>
      </w:pPr>
      <w:r>
        <w:t>Suppliers may propose amendments to the draft Contract only during the clarification period. Suppliers must not provide full mark-ups of the draft Contract. Any proposed amendments to the draft Contract must be submitted through the clarification process (see Section 9 of this ITT). The Trust will review all clarification requests and consider (in its absolute discretion) whether to amend the draft Contract. Where appropriate, the Trust may issue an updated version of the draft Contract to all Suppliers prior to the Tender Return Deadline. The Trust is under no obligation to accept any proposed amendments.</w:t>
      </w:r>
    </w:p>
    <w:p w14:paraId="6185DC32" w14:textId="03AA26A5" w:rsidR="00212BC6" w:rsidRDefault="00212BC6">
      <w:pPr>
        <w:adjustRightInd/>
        <w:spacing w:after="160" w:line="259" w:lineRule="auto"/>
        <w:rPr>
          <w:rFonts w:eastAsia="Arial" w:cs="Arial"/>
        </w:rPr>
      </w:pPr>
      <w:r>
        <w:br w:type="page"/>
      </w:r>
    </w:p>
    <w:p w14:paraId="5F58403B" w14:textId="04CA3651" w:rsidR="00212BC6" w:rsidRDefault="00212BC6" w:rsidP="00212BC6">
      <w:pPr>
        <w:pStyle w:val="Level1Heading"/>
        <w:numPr>
          <w:ilvl w:val="0"/>
          <w:numId w:val="0"/>
        </w:numPr>
        <w:jc w:val="center"/>
      </w:pPr>
      <w:bookmarkStart w:id="8" w:name="_Toc197441907"/>
      <w:r>
        <w:lastRenderedPageBreak/>
        <w:t>SECTION</w:t>
      </w:r>
      <w:r w:rsidRPr="00E5488A">
        <w:t xml:space="preserve"> </w:t>
      </w:r>
      <w:r>
        <w:t>8</w:t>
      </w:r>
      <w:r w:rsidRPr="00E5488A">
        <w:t xml:space="preserve"> </w:t>
      </w:r>
      <w:r>
        <w:t>–</w:t>
      </w:r>
      <w:r w:rsidRPr="00E5488A">
        <w:t xml:space="preserve"> </w:t>
      </w:r>
      <w:r>
        <w:t>HOW TO RESPOND TO THIS OPPORTUNITY</w:t>
      </w:r>
      <w:bookmarkEnd w:id="8"/>
    </w:p>
    <w:p w14:paraId="2CE48255" w14:textId="1AFFD6EC" w:rsidR="00212BC6" w:rsidRDefault="00212BC6" w:rsidP="00AA0F4D">
      <w:pPr>
        <w:pStyle w:val="Level1Heading"/>
        <w:numPr>
          <w:ilvl w:val="0"/>
          <w:numId w:val="68"/>
        </w:numPr>
        <w:outlineLvl w:val="9"/>
      </w:pPr>
      <w:r>
        <w:t>General Requirements</w:t>
      </w:r>
    </w:p>
    <w:p w14:paraId="1B1ABE01" w14:textId="173658F8" w:rsidR="00212BC6" w:rsidRDefault="00212BC6" w:rsidP="00212BC6">
      <w:pPr>
        <w:pStyle w:val="Level2"/>
      </w:pPr>
      <w:r>
        <w:t xml:space="preserve">Tenders shall be submitted in accordance with the instructions given in this ITT. Tenders not complying with these instructions may be rejected by the </w:t>
      </w:r>
      <w:r w:rsidR="00DA171D">
        <w:t>Trust</w:t>
      </w:r>
      <w:r>
        <w:t xml:space="preserve"> at its absolute discretion.</w:t>
      </w:r>
    </w:p>
    <w:p w14:paraId="6BF7E96D" w14:textId="01F88281" w:rsidR="00212BC6" w:rsidRDefault="00212BC6" w:rsidP="00212BC6">
      <w:pPr>
        <w:pStyle w:val="Level2"/>
      </w:pPr>
      <w:r>
        <w:t xml:space="preserve">Tenders shall be submitted via </w:t>
      </w:r>
      <w:r w:rsidR="00D6030F">
        <w:t>tenders@covenantfund.org.uk</w:t>
      </w:r>
      <w:r>
        <w:t xml:space="preserve"> by answering all of the required questions in this ITT and attaching any necessary documents as instructed. More information on the required form and structure of Tenders is provided alongside the relevant questions in this ITT.</w:t>
      </w:r>
    </w:p>
    <w:p w14:paraId="20C2FC3A" w14:textId="77777777" w:rsidR="00212BC6" w:rsidRDefault="00212BC6" w:rsidP="00212BC6">
      <w:pPr>
        <w:pStyle w:val="Level2"/>
      </w:pPr>
      <w:r>
        <w:t xml:space="preserve">Suppliers are required to keep their Tenders open and valid for the period of time specified in Appendix A (Procurement terms and conditions).  </w:t>
      </w:r>
    </w:p>
    <w:p w14:paraId="7352F9D6" w14:textId="6FCB2B6D" w:rsidR="00212BC6" w:rsidRDefault="00212BC6" w:rsidP="00212BC6">
      <w:pPr>
        <w:pStyle w:val="Level2"/>
      </w:pPr>
      <w:r>
        <w:t xml:space="preserve">Suppliers are required to provide full answers to all questions, including any requested attachments to make up their Tenders. Full details of the response requirements are included in the table below at paragraph </w:t>
      </w:r>
      <w:r w:rsidR="002F5E6C">
        <w:fldChar w:fldCharType="begin"/>
      </w:r>
      <w:r w:rsidR="002F5E6C">
        <w:instrText xml:space="preserve"> REF _Ref201842014 \r \h </w:instrText>
      </w:r>
      <w:r w:rsidR="002F5E6C">
        <w:fldChar w:fldCharType="separate"/>
      </w:r>
      <w:r w:rsidR="002F5E6C">
        <w:t>4.1</w:t>
      </w:r>
      <w:r w:rsidR="002F5E6C">
        <w:fldChar w:fldCharType="end"/>
      </w:r>
      <w:r>
        <w:t xml:space="preserve">. All Tenders must be strictly in accordance with the format, structure and other requirements specified in this ITT and must be as clear and concise as possible, noting that this will be the single source of information on which responses will be evaluated.  </w:t>
      </w:r>
    </w:p>
    <w:p w14:paraId="51476C7E" w14:textId="416DC6AB" w:rsidR="00212BC6" w:rsidRDefault="00212BC6" w:rsidP="00212BC6">
      <w:pPr>
        <w:pStyle w:val="Level2"/>
      </w:pPr>
      <w:r>
        <w:t xml:space="preserve">The information supplied will be checked for completeness and compliance with the instructions before responses are evaluated. The </w:t>
      </w:r>
      <w:r w:rsidR="00DA171D">
        <w:t>Trust</w:t>
      </w:r>
      <w:r>
        <w:t xml:space="preserve"> reserves the right to deem a response non-compliant if it is not completed fully, comprehensively and honestly and may be rejected. Suppliers are therefore advised to ensure that all members of the Supplier’s team are made fully aware of these instructions. </w:t>
      </w:r>
    </w:p>
    <w:p w14:paraId="1A643352" w14:textId="75D8F186" w:rsidR="00212BC6" w:rsidRDefault="00212BC6" w:rsidP="001B3144">
      <w:pPr>
        <w:pStyle w:val="Level1Heading"/>
        <w:outlineLvl w:val="9"/>
      </w:pPr>
      <w:r>
        <w:t>F</w:t>
      </w:r>
      <w:r w:rsidR="00813DC3">
        <w:t>ormatting</w:t>
      </w:r>
      <w:r>
        <w:t xml:space="preserve"> </w:t>
      </w:r>
    </w:p>
    <w:p w14:paraId="2E439D51" w14:textId="14ED2FB8" w:rsidR="00212BC6" w:rsidRDefault="00212BC6" w:rsidP="00212BC6">
      <w:pPr>
        <w:pStyle w:val="Level2"/>
      </w:pPr>
      <w:r>
        <w:t>All Tenders must be submitted:</w:t>
      </w:r>
    </w:p>
    <w:p w14:paraId="72F6F9F9" w14:textId="7B3906D7" w:rsidR="00212BC6" w:rsidRDefault="00212BC6" w:rsidP="00212BC6">
      <w:pPr>
        <w:pStyle w:val="Level3"/>
      </w:pPr>
      <w:r>
        <w:t>in the English language;</w:t>
      </w:r>
    </w:p>
    <w:p w14:paraId="1A13D89A" w14:textId="0D223E4E" w:rsidR="006A1047" w:rsidRDefault="004717D0" w:rsidP="00212BC6">
      <w:pPr>
        <w:pStyle w:val="Level3"/>
      </w:pPr>
      <w:r>
        <w:t>up to 1</w:t>
      </w:r>
      <w:r w:rsidR="009016DA">
        <w:t>2</w:t>
      </w:r>
      <w:r>
        <w:t xml:space="preserve"> pages, including attachments</w:t>
      </w:r>
    </w:p>
    <w:p w14:paraId="07E0C597" w14:textId="458C890C" w:rsidR="00212BC6" w:rsidRDefault="00212BC6" w:rsidP="00212BC6">
      <w:pPr>
        <w:pStyle w:val="Level3"/>
      </w:pPr>
      <w:r>
        <w:t>typed solely in Arial font size 11</w:t>
      </w:r>
      <w:r w:rsidR="003C5B50">
        <w:t xml:space="preserve"> (including any attachments)</w:t>
      </w:r>
      <w:r>
        <w:t xml:space="preserve">; </w:t>
      </w:r>
    </w:p>
    <w:p w14:paraId="5508D658" w14:textId="48B5A4EF" w:rsidR="00212BC6" w:rsidRDefault="00212BC6" w:rsidP="00212BC6">
      <w:pPr>
        <w:pStyle w:val="Level3"/>
      </w:pPr>
      <w:r>
        <w:t>with all financial information stated in GBP</w:t>
      </w:r>
      <w:r w:rsidRPr="00080E1E">
        <w:t>, exclusive of</w:t>
      </w:r>
      <w:r>
        <w:t xml:space="preserve"> VAT and, where relevant, with total values clearly provided; </w:t>
      </w:r>
    </w:p>
    <w:p w14:paraId="4788A37B" w14:textId="1CF8264B" w:rsidR="00212BC6" w:rsidRDefault="00212BC6" w:rsidP="00212BC6">
      <w:pPr>
        <w:pStyle w:val="Level3"/>
      </w:pPr>
      <w:r>
        <w:t xml:space="preserve">either in standard Microsoft Office formats (Word, Excel, etc), or PDF only. Non-standard formats may be rendered inaccessible to the </w:t>
      </w:r>
      <w:r w:rsidR="00DA171D">
        <w:t>Trust</w:t>
      </w:r>
      <w:r>
        <w:t xml:space="preserve"> for evaluation purposes and will not be reviewed.</w:t>
      </w:r>
    </w:p>
    <w:p w14:paraId="51EABC80" w14:textId="41F3F13D" w:rsidR="00CA0B78" w:rsidRDefault="00FB4903" w:rsidP="00212BC6">
      <w:pPr>
        <w:pStyle w:val="Level3"/>
      </w:pPr>
      <w:r>
        <w:t xml:space="preserve">with </w:t>
      </w:r>
      <w:r w:rsidR="001E131E">
        <w:t xml:space="preserve">accounts for the last </w:t>
      </w:r>
      <w:r w:rsidR="00005884">
        <w:t>two</w:t>
      </w:r>
      <w:r w:rsidR="001E131E">
        <w:t xml:space="preserve"> financial years</w:t>
      </w:r>
      <w:r w:rsidR="00005884">
        <w:t xml:space="preserve"> (</w:t>
      </w:r>
      <w:r w:rsidR="00026511">
        <w:t xml:space="preserve">in addition to the page and </w:t>
      </w:r>
      <w:r w:rsidR="00FD66C2">
        <w:t xml:space="preserve"> attachments allowance)</w:t>
      </w:r>
    </w:p>
    <w:p w14:paraId="40547A4B" w14:textId="07FA7CC8" w:rsidR="00212BC6" w:rsidRDefault="00212BC6" w:rsidP="00212BC6">
      <w:pPr>
        <w:pStyle w:val="Level3"/>
      </w:pPr>
      <w:r>
        <w:t xml:space="preserve">without: </w:t>
      </w:r>
    </w:p>
    <w:p w14:paraId="03E46B69" w14:textId="214D564B" w:rsidR="00212BC6" w:rsidRDefault="00212BC6" w:rsidP="00212BC6">
      <w:pPr>
        <w:pStyle w:val="Level4"/>
      </w:pPr>
      <w:r>
        <w:t>embedded files or links (including hyperlinks) to any other documents or web pages etc.;</w:t>
      </w:r>
    </w:p>
    <w:p w14:paraId="6CF95EA7" w14:textId="19A838BA" w:rsidR="00212BC6" w:rsidRDefault="00212BC6" w:rsidP="00212BC6">
      <w:pPr>
        <w:pStyle w:val="Level4"/>
      </w:pPr>
      <w:r>
        <w:t>marketing or promotional material;</w:t>
      </w:r>
    </w:p>
    <w:p w14:paraId="35B11FC2" w14:textId="4CE83508" w:rsidR="00212BC6" w:rsidRDefault="00212BC6" w:rsidP="00212BC6">
      <w:pPr>
        <w:pStyle w:val="Level4"/>
      </w:pPr>
      <w:r>
        <w:t xml:space="preserve">additional attachments </w:t>
      </w:r>
      <w:r w:rsidR="001E60AC">
        <w:t xml:space="preserve">(except for accounts) </w:t>
      </w:r>
      <w:r>
        <w:t xml:space="preserve">or appendixes beyond those permitted by any stated word count or character limits; </w:t>
      </w:r>
    </w:p>
    <w:p w14:paraId="671C2F50" w14:textId="6490740B" w:rsidR="00212BC6" w:rsidRDefault="00212BC6" w:rsidP="00212BC6">
      <w:pPr>
        <w:pStyle w:val="Level4"/>
      </w:pPr>
      <w:r>
        <w:t xml:space="preserve">caveats or qualifications. Suppliers must therefore ensure any explanatory or descriptive matter does not constitute a qualification to </w:t>
      </w:r>
      <w:r>
        <w:lastRenderedPageBreak/>
        <w:t xml:space="preserve">the </w:t>
      </w:r>
      <w:r w:rsidR="00DA171D">
        <w:t>Trust’s</w:t>
      </w:r>
      <w:r>
        <w:t xml:space="preserve"> requirements as any Tender deemed to be submitted subject to caveats or qualifications may be deemed non-compliant by the </w:t>
      </w:r>
      <w:r w:rsidR="00DA171D">
        <w:t>Trust</w:t>
      </w:r>
      <w:r>
        <w:t xml:space="preserve"> and therefore disqualified from this procurement process; </w:t>
      </w:r>
    </w:p>
    <w:p w14:paraId="3F500819" w14:textId="6501E3FD" w:rsidR="00212BC6" w:rsidRDefault="00212BC6" w:rsidP="00212BC6">
      <w:pPr>
        <w:pStyle w:val="Level4"/>
      </w:pPr>
      <w:r>
        <w:t xml:space="preserve">assumptions or dependencies (including contractual obligations) on the </w:t>
      </w:r>
      <w:r w:rsidR="00DA171D">
        <w:t>Trust</w:t>
      </w:r>
      <w:r>
        <w:t>; or</w:t>
      </w:r>
    </w:p>
    <w:p w14:paraId="7C538078" w14:textId="2F79BBFB" w:rsidR="00212BC6" w:rsidRDefault="00212BC6" w:rsidP="00212BC6">
      <w:pPr>
        <w:pStyle w:val="Level4"/>
      </w:pPr>
      <w:r>
        <w:t xml:space="preserve">cross-referencing between different elements of the Tender response. Each question response should ‘stand-alone’ and contain the Supplier’s entire response to the relevant question.  </w:t>
      </w:r>
    </w:p>
    <w:p w14:paraId="2A74702F" w14:textId="2F91C219" w:rsidR="00212BC6" w:rsidRDefault="00212BC6" w:rsidP="00212BC6">
      <w:pPr>
        <w:pStyle w:val="Level2"/>
      </w:pPr>
      <w:r>
        <w:t xml:space="preserve">Suppliers must not include pricing details in any element of the Tender other than the Commercial </w:t>
      </w:r>
      <w:r w:rsidR="008162C1">
        <w:t>submission</w:t>
      </w:r>
      <w:r>
        <w:t xml:space="preserve">.   </w:t>
      </w:r>
    </w:p>
    <w:p w14:paraId="1D248391" w14:textId="17B6D7F0" w:rsidR="00212BC6" w:rsidRDefault="00212BC6" w:rsidP="00212BC6">
      <w:pPr>
        <w:pStyle w:val="Level2"/>
      </w:pPr>
      <w:r>
        <w:t>Any annexes or appendices provided as part of a Supplier’s response must be clearly marked and identified.  Supplementary documentation, which is not clearly identified, or cannot be readily linked to a specific evaluation question, will not be evaluated.</w:t>
      </w:r>
    </w:p>
    <w:p w14:paraId="5C752B29" w14:textId="5769AC5B" w:rsidR="00212BC6" w:rsidRDefault="00212BC6" w:rsidP="001B3144">
      <w:pPr>
        <w:pStyle w:val="Level1Heading"/>
        <w:outlineLvl w:val="9"/>
      </w:pPr>
      <w:r>
        <w:t>S</w:t>
      </w:r>
      <w:r w:rsidR="00813DC3">
        <w:t xml:space="preserve">ubmission Process </w:t>
      </w:r>
      <w:r>
        <w:t xml:space="preserve"> </w:t>
      </w:r>
    </w:p>
    <w:p w14:paraId="704A33F6" w14:textId="05D010D4" w:rsidR="00212BC6" w:rsidRDefault="00212BC6" w:rsidP="00212BC6">
      <w:pPr>
        <w:pStyle w:val="Level2"/>
      </w:pPr>
      <w:r>
        <w:t xml:space="preserve">A response to the Procurement Specific Questionnaire (PSQ) must be submitted as part of a Supplier’s Tender response in accordance with the instructions in Section 8 (How to respond to this opportunity) of this ITT. </w:t>
      </w:r>
    </w:p>
    <w:p w14:paraId="69B864F1" w14:textId="150EA6E5" w:rsidR="00212BC6" w:rsidRDefault="00212BC6" w:rsidP="00212BC6">
      <w:pPr>
        <w:pStyle w:val="Level2"/>
      </w:pPr>
      <w:r>
        <w:t xml:space="preserve">Supporting documents and information required by the </w:t>
      </w:r>
      <w:r w:rsidR="00DA171D">
        <w:t>Trust</w:t>
      </w:r>
      <w:r>
        <w:t xml:space="preserve"> as part of the submission, e.g. Mandatory and Discretionary exclusions self-declarations for sub-contractors, must be submitted as separate attachments and be clearly referenced as follows: </w:t>
      </w:r>
      <w:r w:rsidR="00DB3076">
        <w:t>AFCFT_closed_framework_tender</w:t>
      </w:r>
      <w:r w:rsidR="007F7B00">
        <w:t xml:space="preserve"> [</w:t>
      </w:r>
      <w:r w:rsidR="0036348C">
        <w:t>bidder name]</w:t>
      </w:r>
      <w:r>
        <w:t>.</w:t>
      </w:r>
    </w:p>
    <w:p w14:paraId="62056610" w14:textId="493E6E0C" w:rsidR="00212BC6" w:rsidRDefault="00212BC6" w:rsidP="00212BC6">
      <w:pPr>
        <w:pStyle w:val="Level2"/>
      </w:pPr>
      <w:r>
        <w:t>The Tender Return Deadline is stated in the Procurement Timetable and Tenders will not be accepted after that deadline</w:t>
      </w:r>
      <w:r w:rsidR="007A736B">
        <w:t>,</w:t>
      </w:r>
      <w:r w:rsidR="007A736B" w:rsidRPr="007A736B">
        <w:t xml:space="preserve"> </w:t>
      </w:r>
      <w:r w:rsidR="007A736B">
        <w:t>unless the Trust considers (in its absolute discretion) there are exceptional circumstances outside of the Supplier’s control that have resulted in the Supplier missing the deadline</w:t>
      </w:r>
      <w:r>
        <w:t>. It is each Supplier’s responsibility to ensure that its Tender is submitted in accordance with the instructions set out in this ITT before the Tender Return Deadline.</w:t>
      </w:r>
    </w:p>
    <w:p w14:paraId="04295EF7" w14:textId="2F1D5FB3" w:rsidR="00212BC6" w:rsidRDefault="00212BC6" w:rsidP="00212BC6">
      <w:pPr>
        <w:pStyle w:val="Level2"/>
      </w:pPr>
      <w:r>
        <w:t>No subsequent claim for loss as a consequence of a Supplier’s failure to comply with the instructions set out in this ITT shall be admitted.</w:t>
      </w:r>
    </w:p>
    <w:p w14:paraId="3D1151A0" w14:textId="787EDD25" w:rsidR="00212BC6" w:rsidRDefault="00212BC6" w:rsidP="00212BC6">
      <w:pPr>
        <w:pStyle w:val="Level2"/>
      </w:pPr>
      <w:r>
        <w:t xml:space="preserve">The </w:t>
      </w:r>
      <w:r w:rsidR="00DA171D">
        <w:t>Trust</w:t>
      </w:r>
      <w:r>
        <w:t xml:space="preserve"> reserves the right to request information from Suppliers following the Tender Return Deadline for clarification purposes.</w:t>
      </w:r>
    </w:p>
    <w:p w14:paraId="5D1BF835" w14:textId="388160DA" w:rsidR="00212BC6" w:rsidRDefault="00212BC6" w:rsidP="001B3144">
      <w:pPr>
        <w:pStyle w:val="Level1Heading"/>
        <w:outlineLvl w:val="9"/>
      </w:pPr>
      <w:r>
        <w:t>C</w:t>
      </w:r>
      <w:r w:rsidR="00813DC3">
        <w:t>ontent</w:t>
      </w:r>
      <w:r>
        <w:t xml:space="preserve"> </w:t>
      </w:r>
    </w:p>
    <w:p w14:paraId="362C5093" w14:textId="171E718D" w:rsidR="00212BC6" w:rsidRDefault="00212BC6" w:rsidP="00212BC6">
      <w:pPr>
        <w:pStyle w:val="Level2"/>
      </w:pPr>
      <w:bookmarkStart w:id="9" w:name="_Ref201842014"/>
      <w:r w:rsidRPr="00212BC6">
        <w:t>The following table provides a checklist of all information / documents that must be submitted to submit a compliant Tender.</w:t>
      </w:r>
      <w:bookmarkEnd w:id="9"/>
    </w:p>
    <w:tbl>
      <w:tblPr>
        <w:tblStyle w:val="TableGrid"/>
        <w:tblW w:w="0" w:type="auto"/>
        <w:tblLook w:val="04A0" w:firstRow="1" w:lastRow="0" w:firstColumn="1" w:lastColumn="0" w:noHBand="0" w:noVBand="1"/>
      </w:tblPr>
      <w:tblGrid>
        <w:gridCol w:w="1980"/>
        <w:gridCol w:w="6518"/>
      </w:tblGrid>
      <w:tr w:rsidR="00212BC6" w14:paraId="75F02AB8" w14:textId="77777777" w:rsidTr="00813DC3">
        <w:tc>
          <w:tcPr>
            <w:tcW w:w="1980" w:type="dxa"/>
            <w:shd w:val="clear" w:color="auto" w:fill="F9CFE9" w:themeFill="text1" w:themeFillTint="33"/>
          </w:tcPr>
          <w:p w14:paraId="22C64FF4" w14:textId="608E6C22" w:rsidR="00212BC6" w:rsidRPr="00212BC6" w:rsidRDefault="00212BC6" w:rsidP="00212BC6">
            <w:pPr>
              <w:pStyle w:val="Level2"/>
              <w:numPr>
                <w:ilvl w:val="0"/>
                <w:numId w:val="0"/>
              </w:numPr>
              <w:rPr>
                <w:b/>
                <w:bCs/>
              </w:rPr>
            </w:pPr>
            <w:r w:rsidRPr="00212BC6">
              <w:rPr>
                <w:b/>
                <w:bCs/>
              </w:rPr>
              <w:t>Document number</w:t>
            </w:r>
          </w:p>
        </w:tc>
        <w:tc>
          <w:tcPr>
            <w:tcW w:w="6518" w:type="dxa"/>
            <w:shd w:val="clear" w:color="auto" w:fill="F9CFE9" w:themeFill="text1" w:themeFillTint="33"/>
          </w:tcPr>
          <w:p w14:paraId="2CF60A26" w14:textId="4BEFBD57" w:rsidR="00212BC6" w:rsidRPr="00212BC6" w:rsidRDefault="00212BC6" w:rsidP="00212BC6">
            <w:pPr>
              <w:pStyle w:val="Level2"/>
              <w:numPr>
                <w:ilvl w:val="0"/>
                <w:numId w:val="0"/>
              </w:numPr>
              <w:rPr>
                <w:b/>
                <w:bCs/>
              </w:rPr>
            </w:pPr>
            <w:r w:rsidRPr="00212BC6">
              <w:rPr>
                <w:b/>
                <w:bCs/>
              </w:rPr>
              <w:t>Document name</w:t>
            </w:r>
          </w:p>
        </w:tc>
      </w:tr>
      <w:tr w:rsidR="00212BC6" w14:paraId="21E8AFCA" w14:textId="77777777" w:rsidTr="00813DC3">
        <w:tc>
          <w:tcPr>
            <w:tcW w:w="1980" w:type="dxa"/>
            <w:shd w:val="clear" w:color="auto" w:fill="D9D9D9" w:themeFill="background1" w:themeFillShade="D9"/>
          </w:tcPr>
          <w:p w14:paraId="19A3C9A9" w14:textId="473F9E21" w:rsidR="00212BC6" w:rsidRDefault="00212BC6" w:rsidP="00212BC6">
            <w:pPr>
              <w:pStyle w:val="Level2"/>
              <w:numPr>
                <w:ilvl w:val="0"/>
                <w:numId w:val="0"/>
              </w:numPr>
            </w:pPr>
            <w:r>
              <w:t>1</w:t>
            </w:r>
          </w:p>
        </w:tc>
        <w:tc>
          <w:tcPr>
            <w:tcW w:w="6518" w:type="dxa"/>
            <w:shd w:val="clear" w:color="auto" w:fill="D9D9D9" w:themeFill="background1" w:themeFillShade="D9"/>
          </w:tcPr>
          <w:p w14:paraId="3B7C12C4" w14:textId="7C9D1D2D" w:rsidR="00212BC6" w:rsidRDefault="00212BC6" w:rsidP="00212BC6">
            <w:pPr>
              <w:pStyle w:val="Level2"/>
              <w:numPr>
                <w:ilvl w:val="0"/>
                <w:numId w:val="0"/>
              </w:numPr>
            </w:pPr>
            <w:r w:rsidRPr="00212BC6">
              <w:rPr>
                <w:b/>
                <w:bCs/>
              </w:rPr>
              <w:t>PSQ Submission:</w:t>
            </w:r>
            <w:r w:rsidRPr="00212BC6">
              <w:t xml:space="preserve"> You must use the template provided at Appendix C</w:t>
            </w:r>
          </w:p>
        </w:tc>
      </w:tr>
      <w:tr w:rsidR="00212BC6" w14:paraId="4E8E1EB4" w14:textId="77777777" w:rsidTr="00813DC3">
        <w:tc>
          <w:tcPr>
            <w:tcW w:w="1980" w:type="dxa"/>
            <w:shd w:val="clear" w:color="auto" w:fill="D9D9D9" w:themeFill="background1" w:themeFillShade="D9"/>
          </w:tcPr>
          <w:p w14:paraId="76AC8FE7" w14:textId="6EA22490" w:rsidR="00212BC6" w:rsidRDefault="00212BC6" w:rsidP="00212BC6">
            <w:pPr>
              <w:pStyle w:val="Level2"/>
              <w:numPr>
                <w:ilvl w:val="0"/>
                <w:numId w:val="0"/>
              </w:numPr>
            </w:pPr>
            <w:r>
              <w:t>2</w:t>
            </w:r>
          </w:p>
        </w:tc>
        <w:tc>
          <w:tcPr>
            <w:tcW w:w="6518" w:type="dxa"/>
            <w:shd w:val="clear" w:color="auto" w:fill="D9D9D9" w:themeFill="background1" w:themeFillShade="D9"/>
          </w:tcPr>
          <w:p w14:paraId="5519819C" w14:textId="4F4DAE5A" w:rsidR="00212BC6" w:rsidRDefault="00212BC6" w:rsidP="00212BC6">
            <w:pPr>
              <w:pStyle w:val="Level2"/>
              <w:numPr>
                <w:ilvl w:val="0"/>
                <w:numId w:val="0"/>
              </w:numPr>
            </w:pPr>
            <w:r w:rsidRPr="00212BC6">
              <w:rPr>
                <w:b/>
                <w:bCs/>
              </w:rPr>
              <w:t>Technical Submission:</w:t>
            </w:r>
            <w:r w:rsidRPr="00212BC6">
              <w:t xml:space="preserve"> You must respond to all Technical criteria specified </w:t>
            </w:r>
            <w:r w:rsidR="009A3081">
              <w:t>i</w:t>
            </w:r>
            <w:r w:rsidRPr="00212BC6">
              <w:t>n Section 10 (The assessment process and award criteria)</w:t>
            </w:r>
            <w:r w:rsidR="00694DF7">
              <w:t>, referencing the Service Specification as appropriate</w:t>
            </w:r>
            <w:r w:rsidR="00485FC8">
              <w:t>.</w:t>
            </w:r>
          </w:p>
        </w:tc>
      </w:tr>
      <w:tr w:rsidR="00212BC6" w14:paraId="22E91CA0" w14:textId="77777777" w:rsidTr="00813DC3">
        <w:tc>
          <w:tcPr>
            <w:tcW w:w="1980" w:type="dxa"/>
            <w:shd w:val="clear" w:color="auto" w:fill="D9D9D9" w:themeFill="background1" w:themeFillShade="D9"/>
          </w:tcPr>
          <w:p w14:paraId="3D3CC1D9" w14:textId="5D619A94" w:rsidR="00212BC6" w:rsidRDefault="00212BC6" w:rsidP="00212BC6">
            <w:pPr>
              <w:pStyle w:val="Level2"/>
              <w:numPr>
                <w:ilvl w:val="0"/>
                <w:numId w:val="0"/>
              </w:numPr>
            </w:pPr>
            <w:r>
              <w:t>3</w:t>
            </w:r>
          </w:p>
        </w:tc>
        <w:tc>
          <w:tcPr>
            <w:tcW w:w="6518" w:type="dxa"/>
            <w:shd w:val="clear" w:color="auto" w:fill="D9D9D9" w:themeFill="background1" w:themeFillShade="D9"/>
          </w:tcPr>
          <w:p w14:paraId="5EE56F3B" w14:textId="3175507A" w:rsidR="00212BC6" w:rsidRDefault="00212BC6" w:rsidP="00212BC6">
            <w:pPr>
              <w:pStyle w:val="Level2"/>
              <w:numPr>
                <w:ilvl w:val="0"/>
                <w:numId w:val="0"/>
              </w:numPr>
            </w:pPr>
            <w:r w:rsidRPr="00212BC6">
              <w:rPr>
                <w:b/>
                <w:bCs/>
              </w:rPr>
              <w:t>Commercial Submission:</w:t>
            </w:r>
            <w:r w:rsidRPr="00212BC6">
              <w:t xml:space="preserve"> You must use the Commercial Submission template provided</w:t>
            </w:r>
            <w:r w:rsidR="00FC2D43">
              <w:t xml:space="preserve"> (Rate Card</w:t>
            </w:r>
            <w:r w:rsidR="00551E38">
              <w:t>: See Appendix G)</w:t>
            </w:r>
          </w:p>
        </w:tc>
      </w:tr>
      <w:tr w:rsidR="00212BC6" w14:paraId="0DA4D2DF" w14:textId="77777777" w:rsidTr="00813DC3">
        <w:tc>
          <w:tcPr>
            <w:tcW w:w="1980" w:type="dxa"/>
            <w:shd w:val="clear" w:color="auto" w:fill="D9D9D9" w:themeFill="background1" w:themeFillShade="D9"/>
          </w:tcPr>
          <w:p w14:paraId="63FBF912" w14:textId="0473F9C2" w:rsidR="00212BC6" w:rsidRDefault="00212BC6" w:rsidP="00212BC6">
            <w:pPr>
              <w:pStyle w:val="Level2"/>
              <w:numPr>
                <w:ilvl w:val="0"/>
                <w:numId w:val="0"/>
              </w:numPr>
            </w:pPr>
            <w:r>
              <w:t>4</w:t>
            </w:r>
          </w:p>
        </w:tc>
        <w:tc>
          <w:tcPr>
            <w:tcW w:w="6518" w:type="dxa"/>
            <w:shd w:val="clear" w:color="auto" w:fill="D9D9D9" w:themeFill="background1" w:themeFillShade="D9"/>
          </w:tcPr>
          <w:p w14:paraId="548F044D" w14:textId="74F4583F" w:rsidR="00212BC6" w:rsidRDefault="00212BC6" w:rsidP="00212BC6">
            <w:pPr>
              <w:pStyle w:val="Level2"/>
              <w:numPr>
                <w:ilvl w:val="0"/>
                <w:numId w:val="0"/>
              </w:numPr>
            </w:pPr>
            <w:r w:rsidRPr="00212BC6">
              <w:rPr>
                <w:b/>
                <w:bCs/>
              </w:rPr>
              <w:t>Form of tender:</w:t>
            </w:r>
            <w:r w:rsidRPr="00212BC6">
              <w:t xml:space="preserve"> See Appendix E</w:t>
            </w:r>
          </w:p>
        </w:tc>
      </w:tr>
      <w:tr w:rsidR="00212BC6" w14:paraId="29C34548" w14:textId="77777777" w:rsidTr="00813DC3">
        <w:tc>
          <w:tcPr>
            <w:tcW w:w="1980" w:type="dxa"/>
            <w:shd w:val="clear" w:color="auto" w:fill="D9D9D9" w:themeFill="background1" w:themeFillShade="D9"/>
          </w:tcPr>
          <w:p w14:paraId="073A60C6" w14:textId="704140B8" w:rsidR="00212BC6" w:rsidRDefault="00212BC6" w:rsidP="00212BC6">
            <w:pPr>
              <w:pStyle w:val="Level2"/>
              <w:numPr>
                <w:ilvl w:val="0"/>
                <w:numId w:val="0"/>
              </w:numPr>
            </w:pPr>
            <w:r>
              <w:lastRenderedPageBreak/>
              <w:t>5</w:t>
            </w:r>
          </w:p>
        </w:tc>
        <w:tc>
          <w:tcPr>
            <w:tcW w:w="6518" w:type="dxa"/>
            <w:shd w:val="clear" w:color="auto" w:fill="D9D9D9" w:themeFill="background1" w:themeFillShade="D9"/>
          </w:tcPr>
          <w:p w14:paraId="659F4267" w14:textId="6DF7F82A" w:rsidR="00212BC6" w:rsidRDefault="00212BC6" w:rsidP="00212BC6">
            <w:pPr>
              <w:pStyle w:val="Level2"/>
              <w:numPr>
                <w:ilvl w:val="0"/>
                <w:numId w:val="0"/>
              </w:numPr>
            </w:pPr>
            <w:r w:rsidRPr="00212BC6">
              <w:rPr>
                <w:b/>
                <w:bCs/>
              </w:rPr>
              <w:t>Commercially sensitive information</w:t>
            </w:r>
            <w:r w:rsidRPr="00212BC6">
              <w:t>: See Appendix F</w:t>
            </w:r>
          </w:p>
        </w:tc>
      </w:tr>
      <w:tr w:rsidR="001E60AC" w14:paraId="47317F9E" w14:textId="77777777" w:rsidTr="00813DC3">
        <w:tc>
          <w:tcPr>
            <w:tcW w:w="1980" w:type="dxa"/>
            <w:shd w:val="clear" w:color="auto" w:fill="D9D9D9" w:themeFill="background1" w:themeFillShade="D9"/>
          </w:tcPr>
          <w:p w14:paraId="5501D61E" w14:textId="2BBBC0B1" w:rsidR="001E60AC" w:rsidRDefault="00F13E05" w:rsidP="00212BC6">
            <w:pPr>
              <w:pStyle w:val="Level2"/>
              <w:numPr>
                <w:ilvl w:val="0"/>
                <w:numId w:val="0"/>
              </w:numPr>
            </w:pPr>
            <w:r>
              <w:t>7</w:t>
            </w:r>
          </w:p>
        </w:tc>
        <w:tc>
          <w:tcPr>
            <w:tcW w:w="6518" w:type="dxa"/>
            <w:shd w:val="clear" w:color="auto" w:fill="D9D9D9" w:themeFill="background1" w:themeFillShade="D9"/>
          </w:tcPr>
          <w:p w14:paraId="42801850" w14:textId="1262B552" w:rsidR="001E60AC" w:rsidRPr="00212BC6" w:rsidRDefault="00134FF6" w:rsidP="00212BC6">
            <w:pPr>
              <w:pStyle w:val="Level2"/>
              <w:numPr>
                <w:ilvl w:val="0"/>
                <w:numId w:val="0"/>
              </w:numPr>
              <w:rPr>
                <w:b/>
                <w:bCs/>
              </w:rPr>
            </w:pPr>
            <w:r>
              <w:rPr>
                <w:b/>
                <w:bCs/>
              </w:rPr>
              <w:t>Accounts for the last two financial years</w:t>
            </w:r>
          </w:p>
        </w:tc>
      </w:tr>
    </w:tbl>
    <w:p w14:paraId="2C140F3A" w14:textId="77777777" w:rsidR="00212BC6" w:rsidRDefault="00212BC6" w:rsidP="00212BC6">
      <w:pPr>
        <w:pStyle w:val="Level2"/>
        <w:numPr>
          <w:ilvl w:val="0"/>
          <w:numId w:val="0"/>
        </w:numPr>
      </w:pPr>
    </w:p>
    <w:p w14:paraId="20279F84" w14:textId="2B1F4B65" w:rsidR="00813DC3" w:rsidRDefault="00813DC3">
      <w:pPr>
        <w:adjustRightInd/>
        <w:spacing w:after="160" w:line="259" w:lineRule="auto"/>
        <w:rPr>
          <w:rFonts w:eastAsia="Arial" w:cs="Arial"/>
        </w:rPr>
      </w:pPr>
      <w:r>
        <w:br w:type="page"/>
      </w:r>
    </w:p>
    <w:p w14:paraId="6A9C1D42" w14:textId="5D239A10" w:rsidR="00813DC3" w:rsidRDefault="00813DC3" w:rsidP="00813DC3">
      <w:pPr>
        <w:pStyle w:val="Level1Heading"/>
        <w:numPr>
          <w:ilvl w:val="0"/>
          <w:numId w:val="0"/>
        </w:numPr>
        <w:jc w:val="center"/>
      </w:pPr>
      <w:bookmarkStart w:id="10" w:name="_Toc197441908"/>
      <w:r>
        <w:lastRenderedPageBreak/>
        <w:t>SECTION</w:t>
      </w:r>
      <w:r w:rsidRPr="00E5488A">
        <w:t xml:space="preserve"> </w:t>
      </w:r>
      <w:r>
        <w:t>9</w:t>
      </w:r>
      <w:r w:rsidRPr="00E5488A">
        <w:t xml:space="preserve"> </w:t>
      </w:r>
      <w:r>
        <w:t>–</w:t>
      </w:r>
      <w:r w:rsidRPr="00E5488A">
        <w:t xml:space="preserve"> </w:t>
      </w:r>
      <w:r>
        <w:t>REQUESTS FOR CLARIFCATION</w:t>
      </w:r>
      <w:bookmarkEnd w:id="10"/>
    </w:p>
    <w:p w14:paraId="06B3AEAE" w14:textId="77777777" w:rsidR="00813DC3" w:rsidRDefault="00813DC3" w:rsidP="001B3144"/>
    <w:p w14:paraId="6D2E88DB" w14:textId="71DE92CF" w:rsidR="00813DC3" w:rsidRDefault="00813DC3" w:rsidP="00AA0F4D">
      <w:pPr>
        <w:pStyle w:val="Level1Heading"/>
        <w:numPr>
          <w:ilvl w:val="0"/>
          <w:numId w:val="23"/>
        </w:numPr>
        <w:outlineLvl w:val="9"/>
      </w:pPr>
      <w:r>
        <w:t xml:space="preserve">Approach to Clarification </w:t>
      </w:r>
    </w:p>
    <w:p w14:paraId="6C3529C9" w14:textId="2698F589" w:rsidR="00813DC3" w:rsidRPr="00813DC3" w:rsidRDefault="00813DC3" w:rsidP="00AA0F4D">
      <w:pPr>
        <w:pStyle w:val="Level2"/>
        <w:numPr>
          <w:ilvl w:val="1"/>
          <w:numId w:val="23"/>
        </w:numPr>
      </w:pPr>
      <w:r w:rsidRPr="00813DC3">
        <w:t xml:space="preserve">All communication during the Procurement must be executed </w:t>
      </w:r>
      <w:r w:rsidR="007A736B">
        <w:t>by email</w:t>
      </w:r>
      <w:r w:rsidR="007A736B" w:rsidRPr="00813DC3">
        <w:t xml:space="preserve"> </w:t>
      </w:r>
      <w:r w:rsidR="007A736B">
        <w:t xml:space="preserve">to </w:t>
      </w:r>
      <w:r w:rsidR="00E87C7E">
        <w:t>tenders@covenantfund.org.uk</w:t>
      </w:r>
      <w:r w:rsidR="000969FD">
        <w:t xml:space="preserve"> </w:t>
      </w:r>
      <w:r w:rsidRPr="00813DC3">
        <w:t xml:space="preserve">and NOT through any other means. Where contact is made repeatedly without using the </w:t>
      </w:r>
      <w:r w:rsidR="008B3536">
        <w:t>above email address</w:t>
      </w:r>
      <w:r w:rsidRPr="00813DC3">
        <w:t>, the Supplier may be disqualified from this Procurement.</w:t>
      </w:r>
    </w:p>
    <w:p w14:paraId="4E90E786" w14:textId="525C9C41" w:rsidR="00813DC3" w:rsidRPr="00813DC3" w:rsidRDefault="00813DC3" w:rsidP="00AA0F4D">
      <w:pPr>
        <w:pStyle w:val="Level2"/>
        <w:numPr>
          <w:ilvl w:val="1"/>
          <w:numId w:val="23"/>
        </w:numPr>
      </w:pPr>
      <w:r w:rsidRPr="00813DC3">
        <w:t xml:space="preserve">Any requests for clarification relating to the Procurement must be submitted </w:t>
      </w:r>
      <w:r w:rsidR="007A736B">
        <w:t>to</w:t>
      </w:r>
      <w:r w:rsidR="007A736B" w:rsidRPr="00813DC3">
        <w:t xml:space="preserve"> </w:t>
      </w:r>
      <w:r w:rsidRPr="00813DC3">
        <w:t xml:space="preserve">the </w:t>
      </w:r>
      <w:r w:rsidR="007A736B">
        <w:t>above email address</w:t>
      </w:r>
      <w:r w:rsidRPr="00813DC3">
        <w:t xml:space="preserve">, no later than the deadline in the Procurement Timetable to allow the </w:t>
      </w:r>
      <w:r w:rsidR="00DA171D">
        <w:t>Trust</w:t>
      </w:r>
      <w:r w:rsidRPr="00813DC3">
        <w:t xml:space="preserve"> sufficient time to respond prior to the closing date for receipt of submissions. The </w:t>
      </w:r>
      <w:r w:rsidR="00DA171D">
        <w:t>Trust</w:t>
      </w:r>
      <w:r w:rsidRPr="00813DC3">
        <w:t xml:space="preserve"> will endeavour to respond to requests for clarification submitted in accordance with these requirements within a reasonable period to allow Suppliers to take the responses to clarifications into account with completing their Tender response. </w:t>
      </w:r>
    </w:p>
    <w:p w14:paraId="335F18BC" w14:textId="45E3501D" w:rsidR="009D377B" w:rsidRDefault="00813DC3" w:rsidP="00AA0F4D">
      <w:pPr>
        <w:pStyle w:val="Level2"/>
        <w:numPr>
          <w:ilvl w:val="1"/>
          <w:numId w:val="23"/>
        </w:numPr>
      </w:pPr>
      <w:r w:rsidRPr="00813DC3">
        <w:t xml:space="preserve">The </w:t>
      </w:r>
      <w:r w:rsidR="00DA171D">
        <w:t>Trust</w:t>
      </w:r>
      <w:r w:rsidRPr="00813DC3">
        <w:t xml:space="preserve"> reserves the right not to answer any requests for clarification submitted after the deadline set out in the Procurement Timetable or submitted via any means other than the </w:t>
      </w:r>
      <w:r w:rsidR="007A736B">
        <w:t>above email address</w:t>
      </w:r>
      <w:r w:rsidRPr="00813DC3">
        <w:t>.</w:t>
      </w:r>
    </w:p>
    <w:p w14:paraId="24FC46A8" w14:textId="31DADB39" w:rsidR="00813DC3" w:rsidRPr="00813DC3" w:rsidRDefault="00813DC3" w:rsidP="00AA0F4D">
      <w:pPr>
        <w:pStyle w:val="Level2"/>
        <w:numPr>
          <w:ilvl w:val="1"/>
          <w:numId w:val="23"/>
        </w:numPr>
      </w:pPr>
      <w:r w:rsidRPr="00813DC3">
        <w:t xml:space="preserve">Where the </w:t>
      </w:r>
      <w:r w:rsidR="00DA171D">
        <w:t>Trust</w:t>
      </w:r>
      <w:r w:rsidRPr="00813DC3">
        <w:t xml:space="preserve"> considers any requests for clarification to be relevant to the proper functioning of the Procurement, it will transmit to all other Suppliers (without reference to the identity of the Supplier which submitted the clarification question) the clarification question raised and the </w:t>
      </w:r>
      <w:r w:rsidR="00DA171D">
        <w:t>Trust’s</w:t>
      </w:r>
      <w:r w:rsidRPr="00813DC3">
        <w:t xml:space="preserve"> response, with the exception of those deemed confidential as provided below. </w:t>
      </w:r>
    </w:p>
    <w:p w14:paraId="7D2F6788" w14:textId="18B284BB" w:rsidR="00813DC3" w:rsidRPr="00813DC3" w:rsidRDefault="00813DC3" w:rsidP="00AA0F4D">
      <w:pPr>
        <w:pStyle w:val="Level2"/>
        <w:numPr>
          <w:ilvl w:val="1"/>
          <w:numId w:val="23"/>
        </w:numPr>
      </w:pPr>
      <w:r w:rsidRPr="00813DC3">
        <w:t xml:space="preserve">If a Supplier considers that its request for clarification should be treated as confidential and not disclosed to other Suppliers, it must communicate this and the reason why to the </w:t>
      </w:r>
      <w:r w:rsidR="00DA171D">
        <w:t>Trust</w:t>
      </w:r>
      <w:r w:rsidRPr="00813DC3">
        <w:t xml:space="preserve"> at the time of the submission of that clarification request. The </w:t>
      </w:r>
      <w:r w:rsidR="00DA171D">
        <w:t>Trust</w:t>
      </w:r>
      <w:r w:rsidRPr="00813DC3">
        <w:t xml:space="preserve"> will advise the Supplier in advance of providing the clarification response if it considers that all or any part of the request for clarification cannot be treated as confidential, and will provide an opportunity for the Supplier to withdraw such aspects of the request for clarification. The </w:t>
      </w:r>
      <w:r w:rsidR="00DA171D">
        <w:t>Trust’s</w:t>
      </w:r>
      <w:r w:rsidRPr="00813DC3">
        <w:t xml:space="preserve"> conclusion as to whether a request for clarification contains confidential elements shall be final.</w:t>
      </w:r>
    </w:p>
    <w:p w14:paraId="1EA3B7B5" w14:textId="48CEB53A" w:rsidR="00813DC3" w:rsidRPr="00813DC3" w:rsidRDefault="00813DC3" w:rsidP="00AA0F4D">
      <w:pPr>
        <w:pStyle w:val="Level2"/>
        <w:numPr>
          <w:ilvl w:val="1"/>
          <w:numId w:val="23"/>
        </w:numPr>
      </w:pPr>
      <w:r w:rsidRPr="00813DC3">
        <w:t xml:space="preserve">In such circumstances, the Supplier may either submit an amended request for the clarification to be treated as confidential, which would be considered by the </w:t>
      </w:r>
      <w:r w:rsidR="00DA171D">
        <w:t>Trust</w:t>
      </w:r>
      <w:r w:rsidRPr="00813DC3">
        <w:t xml:space="preserve"> in the same manner as the original request, or raise a new request to be treated as a non-confidential request for clarification. Any requests not amended or withdrawn by the Supplier following notification may be circulated to all Suppliers as described above.</w:t>
      </w:r>
    </w:p>
    <w:p w14:paraId="1E6627E7" w14:textId="20C123D3" w:rsidR="00813DC3" w:rsidRPr="009D377B" w:rsidRDefault="00234FE4" w:rsidP="00AA0F4D">
      <w:pPr>
        <w:pStyle w:val="Level2"/>
        <w:numPr>
          <w:ilvl w:val="1"/>
          <w:numId w:val="23"/>
        </w:numPr>
      </w:pPr>
      <w:r w:rsidRPr="00234FE4">
        <w:t xml:space="preserve">Clarification questions and responses will be published on the Trust’s website periodically and in a timely manner together with the available ITT document. </w:t>
      </w:r>
      <w:r w:rsidR="00813DC3" w:rsidRPr="00813DC3">
        <w:t xml:space="preserve">It is the responsibility of each Supplier to monitor all clarifications issued by the </w:t>
      </w:r>
      <w:r w:rsidR="00DA171D">
        <w:t>Trust</w:t>
      </w:r>
      <w:r w:rsidR="00813DC3" w:rsidRPr="00813DC3">
        <w:t xml:space="preserve">. The </w:t>
      </w:r>
      <w:r w:rsidR="00DA171D">
        <w:t>Trust</w:t>
      </w:r>
      <w:r w:rsidR="00813DC3" w:rsidRPr="00813DC3">
        <w:t xml:space="preserve"> accepts no liability for any Supplier's failure to keep abreast of clarifications issued.</w:t>
      </w:r>
      <w:r w:rsidR="00813DC3">
        <w:br w:type="page"/>
      </w:r>
    </w:p>
    <w:p w14:paraId="05C0620A" w14:textId="5D7BED32" w:rsidR="00813DC3" w:rsidRDefault="00813DC3" w:rsidP="00813DC3">
      <w:pPr>
        <w:pStyle w:val="Level1Heading"/>
        <w:numPr>
          <w:ilvl w:val="0"/>
          <w:numId w:val="0"/>
        </w:numPr>
        <w:jc w:val="center"/>
      </w:pPr>
      <w:bookmarkStart w:id="11" w:name="_Toc197441909"/>
      <w:r>
        <w:lastRenderedPageBreak/>
        <w:t>SECTION</w:t>
      </w:r>
      <w:r w:rsidRPr="00E5488A">
        <w:t xml:space="preserve"> </w:t>
      </w:r>
      <w:r>
        <w:t>10</w:t>
      </w:r>
      <w:r w:rsidRPr="00E5488A">
        <w:t xml:space="preserve"> </w:t>
      </w:r>
      <w:r>
        <w:t>–</w:t>
      </w:r>
      <w:r w:rsidRPr="00E5488A">
        <w:t xml:space="preserve"> </w:t>
      </w:r>
      <w:r>
        <w:t>THE ASSESSMENT PROCESS AND AWARD CRITERIA</w:t>
      </w:r>
      <w:bookmarkEnd w:id="11"/>
      <w:r>
        <w:t xml:space="preserve"> </w:t>
      </w:r>
    </w:p>
    <w:p w14:paraId="0BFFBC7E" w14:textId="77777777" w:rsidR="00813DC3" w:rsidRDefault="00813DC3" w:rsidP="001B3144"/>
    <w:p w14:paraId="4D7D1454" w14:textId="31119EA4" w:rsidR="00813DC3" w:rsidRDefault="00813DC3" w:rsidP="00AA0F4D">
      <w:pPr>
        <w:pStyle w:val="Level1Heading"/>
        <w:numPr>
          <w:ilvl w:val="0"/>
          <w:numId w:val="24"/>
        </w:numPr>
        <w:outlineLvl w:val="9"/>
      </w:pPr>
      <w:r>
        <w:t xml:space="preserve">General guidance </w:t>
      </w:r>
    </w:p>
    <w:p w14:paraId="63A35026" w14:textId="77777777" w:rsidR="006E544A" w:rsidRDefault="00813DC3" w:rsidP="00AA0F4D">
      <w:pPr>
        <w:pStyle w:val="Level2"/>
        <w:numPr>
          <w:ilvl w:val="1"/>
          <w:numId w:val="24"/>
        </w:numPr>
      </w:pPr>
      <w:r>
        <w:t>The evaluation of Tenders will be carried out in a single stage.</w:t>
      </w:r>
    </w:p>
    <w:p w14:paraId="0A70CDD6" w14:textId="61DB4CE5" w:rsidR="006E544A" w:rsidRDefault="00813DC3" w:rsidP="00AA0F4D">
      <w:pPr>
        <w:pStyle w:val="Level2"/>
        <w:numPr>
          <w:ilvl w:val="1"/>
          <w:numId w:val="24"/>
        </w:numPr>
      </w:pPr>
      <w:r>
        <w:t>The tender process will be conducted to ensure that Tenders are evaluated fairly to ascertain the most advantageous tender</w:t>
      </w:r>
      <w:r w:rsidR="009A3081">
        <w:t>s</w:t>
      </w:r>
      <w:r>
        <w:t>.</w:t>
      </w:r>
    </w:p>
    <w:p w14:paraId="788B18BC" w14:textId="1CD3F528" w:rsidR="00813DC3" w:rsidRDefault="00813DC3" w:rsidP="00AA0F4D">
      <w:pPr>
        <w:pStyle w:val="Level2"/>
        <w:numPr>
          <w:ilvl w:val="1"/>
          <w:numId w:val="24"/>
        </w:numPr>
      </w:pPr>
      <w:r>
        <w:t xml:space="preserve">The </w:t>
      </w:r>
      <w:r w:rsidR="00DA171D">
        <w:t>Trust</w:t>
      </w:r>
      <w:r>
        <w:t xml:space="preserve"> reserves the right to:</w:t>
      </w:r>
    </w:p>
    <w:p w14:paraId="4965B027" w14:textId="21F4A1E8" w:rsidR="00813DC3" w:rsidRDefault="00847B88" w:rsidP="00AA0F4D">
      <w:pPr>
        <w:pStyle w:val="Level3"/>
        <w:numPr>
          <w:ilvl w:val="2"/>
          <w:numId w:val="23"/>
        </w:numPr>
      </w:pPr>
      <w:r>
        <w:t>r</w:t>
      </w:r>
      <w:r w:rsidR="00813DC3">
        <w:t>equire a Supplier to provide additional information supplementing or clarifying any of the information provided in it</w:t>
      </w:r>
      <w:r w:rsidR="009A3081">
        <w:t>s</w:t>
      </w:r>
      <w:r w:rsidR="00813DC3">
        <w:t xml:space="preserve"> Tender;</w:t>
      </w:r>
    </w:p>
    <w:p w14:paraId="59DF1BB5" w14:textId="6BDBD2CF" w:rsidR="00813DC3" w:rsidRDefault="00847B88" w:rsidP="00AA0F4D">
      <w:pPr>
        <w:pStyle w:val="Level3"/>
        <w:numPr>
          <w:ilvl w:val="2"/>
          <w:numId w:val="23"/>
        </w:numPr>
      </w:pPr>
      <w:r>
        <w:t>s</w:t>
      </w:r>
      <w:r w:rsidR="00813DC3">
        <w:t xml:space="preserve">eek independent financial, legal, market and internal advice and references to validate any response information provided or to assist in the evaluation process; </w:t>
      </w:r>
    </w:p>
    <w:p w14:paraId="5F36C8AB" w14:textId="7253AE25" w:rsidR="00813DC3" w:rsidRDefault="00813DC3" w:rsidP="00AA0F4D">
      <w:pPr>
        <w:pStyle w:val="Level3"/>
        <w:numPr>
          <w:ilvl w:val="2"/>
          <w:numId w:val="23"/>
        </w:numPr>
      </w:pPr>
      <w:r>
        <w:t xml:space="preserve">require references, site visits, demonstrations and/or presentations as the </w:t>
      </w:r>
      <w:r w:rsidR="00DA171D">
        <w:t>Trust</w:t>
      </w:r>
      <w:r>
        <w:t xml:space="preserve"> deems appropriate;</w:t>
      </w:r>
    </w:p>
    <w:p w14:paraId="53BD20C3" w14:textId="3789C436" w:rsidR="00813DC3" w:rsidRDefault="00813DC3" w:rsidP="00AA0F4D">
      <w:pPr>
        <w:pStyle w:val="Level3"/>
        <w:numPr>
          <w:ilvl w:val="2"/>
          <w:numId w:val="23"/>
        </w:numPr>
      </w:pPr>
      <w:r>
        <w:t xml:space="preserve">directly award a contract covering all or part of the Requirement to any Supplier that is not an </w:t>
      </w:r>
      <w:r w:rsidR="008162C1">
        <w:t>E</w:t>
      </w:r>
      <w:r>
        <w:t xml:space="preserve">xcluded </w:t>
      </w:r>
      <w:r w:rsidR="008162C1">
        <w:t>S</w:t>
      </w:r>
      <w:r>
        <w:t xml:space="preserve">upplier where the </w:t>
      </w:r>
      <w:r w:rsidR="00DA171D">
        <w:t>Trust</w:t>
      </w:r>
      <w:r>
        <w:t xml:space="preserve"> does not receive any suitable Tenders; and </w:t>
      </w:r>
    </w:p>
    <w:p w14:paraId="7C581C09" w14:textId="70ADC3D9" w:rsidR="00813DC3" w:rsidRPr="00746486" w:rsidRDefault="00813DC3" w:rsidP="00AA0F4D">
      <w:pPr>
        <w:pStyle w:val="Level3"/>
        <w:numPr>
          <w:ilvl w:val="2"/>
          <w:numId w:val="23"/>
        </w:numPr>
      </w:pPr>
      <w:r>
        <w:t>disregard any tender which breaches a procedural requirement set out in this (or any subsequent) ITT.</w:t>
      </w:r>
      <w:r w:rsidRPr="00813DC3">
        <w:rPr>
          <w:rFonts w:eastAsia="Batang" w:cs="Times New Roman"/>
        </w:rPr>
        <w:t xml:space="preserve"> </w:t>
      </w:r>
    </w:p>
    <w:p w14:paraId="6809B38B" w14:textId="4CEDC139" w:rsidR="00746486" w:rsidRDefault="00746486" w:rsidP="00AA0F4D">
      <w:pPr>
        <w:pStyle w:val="Level1Heading"/>
        <w:numPr>
          <w:ilvl w:val="0"/>
          <w:numId w:val="24"/>
        </w:numPr>
        <w:outlineLvl w:val="9"/>
      </w:pPr>
      <w:r>
        <w:t xml:space="preserve">Compliance Review </w:t>
      </w:r>
    </w:p>
    <w:p w14:paraId="3DEA7EA7" w14:textId="3FEC9831" w:rsidR="00746486" w:rsidRDefault="00746486" w:rsidP="00AA0F4D">
      <w:pPr>
        <w:pStyle w:val="Level2"/>
        <w:numPr>
          <w:ilvl w:val="1"/>
          <w:numId w:val="24"/>
        </w:numPr>
      </w:pPr>
      <w:r w:rsidRPr="00746486">
        <w:t xml:space="preserve">The </w:t>
      </w:r>
      <w:r w:rsidR="00DA171D">
        <w:t>Trust</w:t>
      </w:r>
      <w:r w:rsidRPr="00746486">
        <w:t xml:space="preserve"> will check the Tenders for completeness and compliance with the requirements for submission set out in this ITT. In particular, the Compliance Review will check that Suppliers:</w:t>
      </w:r>
    </w:p>
    <w:p w14:paraId="3F507AEA" w14:textId="1DDFDB45" w:rsidR="00746486" w:rsidRDefault="00746486" w:rsidP="00AF0DFE">
      <w:pPr>
        <w:pStyle w:val="Level3"/>
      </w:pPr>
      <w:r>
        <w:t>submitted their Tenders by the relevant Tender Return Deadline specified in the Procurement Timetable;</w:t>
      </w:r>
    </w:p>
    <w:p w14:paraId="0D88295E" w14:textId="2BA27FCC" w:rsidR="00746486" w:rsidRDefault="00746486" w:rsidP="00AF0DFE">
      <w:pPr>
        <w:pStyle w:val="Level3"/>
      </w:pPr>
      <w:r>
        <w:t>have provided a response to all mandatory questions set out in this ITT; and</w:t>
      </w:r>
    </w:p>
    <w:p w14:paraId="604AB1A9" w14:textId="18E9926B" w:rsidR="00746486" w:rsidRDefault="00746486" w:rsidP="00AF0DFE">
      <w:pPr>
        <w:pStyle w:val="Level3"/>
      </w:pPr>
      <w:r>
        <w:t>meet the submission requirements set out in Section 8 (How to respond to this opportunity) of this ITT.</w:t>
      </w:r>
    </w:p>
    <w:p w14:paraId="0CA6ED72" w14:textId="267407CE" w:rsidR="00746486" w:rsidRDefault="00746486" w:rsidP="00AA0F4D">
      <w:pPr>
        <w:pStyle w:val="Level2"/>
        <w:numPr>
          <w:ilvl w:val="1"/>
          <w:numId w:val="24"/>
        </w:numPr>
      </w:pPr>
      <w:r>
        <w:t xml:space="preserve">Where, in the opinion of the </w:t>
      </w:r>
      <w:r w:rsidR="00DA171D">
        <w:t>Trust</w:t>
      </w:r>
      <w:r>
        <w:t xml:space="preserve">, a Tender is non-compliant the </w:t>
      </w:r>
      <w:r w:rsidR="00DA171D">
        <w:t>Trust</w:t>
      </w:r>
      <w:r>
        <w:t xml:space="preserve"> may reject the Tender and any such Tender will not be evaluated. </w:t>
      </w:r>
    </w:p>
    <w:p w14:paraId="29BC522F" w14:textId="34924783" w:rsidR="00746486" w:rsidRDefault="00746486" w:rsidP="00AA0F4D">
      <w:pPr>
        <w:pStyle w:val="Level2"/>
        <w:numPr>
          <w:ilvl w:val="1"/>
          <w:numId w:val="24"/>
        </w:numPr>
      </w:pPr>
      <w:r>
        <w:t>All Tenders that are considered to meet the requirements set out above will be evaluated.</w:t>
      </w:r>
    </w:p>
    <w:p w14:paraId="17CDDED4" w14:textId="61D32A1B" w:rsidR="006D77DD" w:rsidRDefault="00746486" w:rsidP="00AA0F4D">
      <w:pPr>
        <w:pStyle w:val="Level1Heading"/>
        <w:numPr>
          <w:ilvl w:val="0"/>
          <w:numId w:val="24"/>
        </w:numPr>
        <w:outlineLvl w:val="9"/>
      </w:pPr>
      <w:r>
        <w:t xml:space="preserve">Step 1: PSQ (Qualification Envelope) </w:t>
      </w:r>
    </w:p>
    <w:p w14:paraId="4DF70E55" w14:textId="679945ED" w:rsidR="00746486" w:rsidRDefault="00746486" w:rsidP="00AA0F4D">
      <w:pPr>
        <w:pStyle w:val="Level2"/>
        <w:numPr>
          <w:ilvl w:val="1"/>
          <w:numId w:val="24"/>
        </w:numPr>
      </w:pPr>
      <w:r w:rsidRPr="00746486">
        <w:t xml:space="preserve">The </w:t>
      </w:r>
      <w:r w:rsidR="00DA171D">
        <w:t>Trust</w:t>
      </w:r>
      <w:r w:rsidRPr="00746486">
        <w:t xml:space="preserve"> will exclude any Tender from a Supplier that does not satisfy the Conditions of Participation. This includes any Tender that scores a “Fail” score for any of the Pass/Fail questions in the PSQ.</w:t>
      </w:r>
    </w:p>
    <w:p w14:paraId="72C52A5F" w14:textId="0F7C09C7" w:rsidR="00746486" w:rsidRDefault="00746486" w:rsidP="00AA0F4D">
      <w:pPr>
        <w:pStyle w:val="Level2"/>
        <w:numPr>
          <w:ilvl w:val="1"/>
          <w:numId w:val="24"/>
        </w:numPr>
      </w:pPr>
      <w:r>
        <w:t xml:space="preserve">The </w:t>
      </w:r>
      <w:r w:rsidR="00DA171D">
        <w:t>Trust</w:t>
      </w:r>
      <w:r>
        <w:t xml:space="preserve"> may disregard a Tender:</w:t>
      </w:r>
    </w:p>
    <w:p w14:paraId="10F773B4" w14:textId="33B613CE" w:rsidR="00746486" w:rsidRDefault="00746486" w:rsidP="00AA0F4D">
      <w:pPr>
        <w:pStyle w:val="Level3"/>
        <w:numPr>
          <w:ilvl w:val="2"/>
          <w:numId w:val="69"/>
        </w:numPr>
      </w:pPr>
      <w:r>
        <w:t>from a Supplier that is not a United Kingdom Supplier or a treaty state Supplier or that intends to sub-contract the performance of all or part of the Contract to a Supplier that is not a United Kingdom Supplier or a treaty state Supplier;</w:t>
      </w:r>
    </w:p>
    <w:p w14:paraId="001E772B" w14:textId="7007D6E8" w:rsidR="00746486" w:rsidRDefault="00746486" w:rsidP="00AF0DFE">
      <w:pPr>
        <w:pStyle w:val="Level3"/>
      </w:pPr>
      <w:r>
        <w:t xml:space="preserve">if the Tender breaches a procedural requirement set out in the Tender Notice or this ITT; </w:t>
      </w:r>
    </w:p>
    <w:p w14:paraId="637D29F0" w14:textId="26FAF986" w:rsidR="00746486" w:rsidRDefault="00746486" w:rsidP="00AF0DFE">
      <w:pPr>
        <w:pStyle w:val="Level3"/>
      </w:pPr>
      <w:r>
        <w:lastRenderedPageBreak/>
        <w:t>if the Supplier fails to provide a satisfactory response to any question in the Central Digital Platform, PSQ and Conditions of Participation (including inadequately or incorrectly completing a response to any question); or</w:t>
      </w:r>
    </w:p>
    <w:p w14:paraId="1A29FAA7" w14:textId="7FEC2E3A" w:rsidR="00746486" w:rsidRDefault="00746486" w:rsidP="00AF0DFE">
      <w:pPr>
        <w:pStyle w:val="Level3"/>
      </w:pPr>
      <w:r w:rsidRPr="00746486">
        <w:t>the Supplier fails to submit the required information by the Tender Return Deadline.</w:t>
      </w:r>
    </w:p>
    <w:p w14:paraId="420F3B92" w14:textId="3B3920A9" w:rsidR="00746486" w:rsidRPr="003F2630" w:rsidRDefault="00746486" w:rsidP="00746486">
      <w:pPr>
        <w:pStyle w:val="Level2"/>
        <w:numPr>
          <w:ilvl w:val="0"/>
          <w:numId w:val="0"/>
        </w:numPr>
        <w:rPr>
          <w:b/>
          <w:bCs/>
        </w:rPr>
      </w:pPr>
      <w:r w:rsidRPr="003F2630">
        <w:rPr>
          <w:b/>
          <w:bCs/>
        </w:rPr>
        <w:t xml:space="preserve">Excluded </w:t>
      </w:r>
      <w:r w:rsidR="008162C1">
        <w:rPr>
          <w:b/>
          <w:bCs/>
        </w:rPr>
        <w:t>Suppliers and</w:t>
      </w:r>
      <w:r w:rsidRPr="003F2630">
        <w:rPr>
          <w:b/>
          <w:bCs/>
        </w:rPr>
        <w:t xml:space="preserve"> Excludable Suppliers</w:t>
      </w:r>
    </w:p>
    <w:p w14:paraId="1580B48B" w14:textId="4F6FB6C9" w:rsidR="00746486" w:rsidRDefault="00746486" w:rsidP="00AA0F4D">
      <w:pPr>
        <w:pStyle w:val="Level2"/>
        <w:numPr>
          <w:ilvl w:val="1"/>
          <w:numId w:val="24"/>
        </w:numPr>
      </w:pPr>
      <w:r>
        <w:t xml:space="preserve">The </w:t>
      </w:r>
      <w:r w:rsidR="00DA171D">
        <w:t>Trust</w:t>
      </w:r>
      <w:r>
        <w:t xml:space="preserve"> will first consider, in respect of each Supplier that submitted a Tender, whether the Supplier or any related persons within its corporate group, Associated Persons relied on to meet the Conditions of Participation, or proposed sub-contractors, are </w:t>
      </w:r>
      <w:r w:rsidR="008162C1">
        <w:t>an E</w:t>
      </w:r>
      <w:r>
        <w:t>xcluded</w:t>
      </w:r>
      <w:r w:rsidR="008162C1">
        <w:t xml:space="preserve"> Supplier</w:t>
      </w:r>
      <w:r>
        <w:t xml:space="preserve"> or</w:t>
      </w:r>
      <w:r w:rsidR="008162C1">
        <w:t xml:space="preserve"> an</w:t>
      </w:r>
      <w:r>
        <w:t xml:space="preserve"> </w:t>
      </w:r>
      <w:r w:rsidR="008162C1">
        <w:t>E</w:t>
      </w:r>
      <w:r>
        <w:t>xcludable Supplier</w:t>
      </w:r>
      <w:r w:rsidR="008162C1">
        <w:t xml:space="preserve"> </w:t>
      </w:r>
      <w:r>
        <w:t xml:space="preserve">and will consider whether to disregard the Tender submitted in accordance with its obligations under the Act. To the extent that any such entities are listed on the debarment list, the </w:t>
      </w:r>
      <w:r w:rsidR="00DA171D">
        <w:t>Trust</w:t>
      </w:r>
      <w:r>
        <w:t xml:space="preserve"> will consider whether to exclude the Supplier from participating in the Procurement in accordance with its obligations under the Act. Before the </w:t>
      </w:r>
      <w:r w:rsidR="00DA171D">
        <w:t>Trust</w:t>
      </w:r>
      <w:r>
        <w:t xml:space="preserve"> determines that a Supplier is </w:t>
      </w:r>
      <w:r w:rsidR="008162C1" w:rsidRPr="008162C1">
        <w:t>an Excluded Supplier or an Excludable Supplier</w:t>
      </w:r>
      <w:r>
        <w:t xml:space="preserve">, it will provide the Supplier reasonable opportunity to make representations and provide evidence as is proportionate in the circumstances. </w:t>
      </w:r>
    </w:p>
    <w:p w14:paraId="1228C252" w14:textId="5116F861" w:rsidR="00746486" w:rsidRDefault="00746486" w:rsidP="00AA0F4D">
      <w:pPr>
        <w:pStyle w:val="Level2"/>
        <w:numPr>
          <w:ilvl w:val="1"/>
          <w:numId w:val="24"/>
        </w:numPr>
      </w:pPr>
      <w:r>
        <w:t xml:space="preserve">If the Supplier is </w:t>
      </w:r>
      <w:r w:rsidR="008162C1" w:rsidRPr="008162C1">
        <w:t>an Excluded Supplier or an Excludable Supplier</w:t>
      </w:r>
      <w:r w:rsidR="008162C1">
        <w:t xml:space="preserve"> </w:t>
      </w:r>
      <w:r>
        <w:t xml:space="preserve">only by virtue of an Associated Person or proposed sub-contractor, the </w:t>
      </w:r>
      <w:r w:rsidR="00DA171D">
        <w:t>Trust</w:t>
      </w:r>
      <w:r>
        <w:t xml:space="preserve"> will notify the Supplier of its intention to disregard its Tender and provide the Supplier with reasonable opportunity to replace the Associated Person or sub-contractor. If as a consequence of this process the </w:t>
      </w:r>
      <w:r w:rsidR="00DA171D">
        <w:t>Trust</w:t>
      </w:r>
      <w:r>
        <w:t xml:space="preserve"> disregards a Tender from </w:t>
      </w:r>
      <w:r w:rsidR="000A0E1B" w:rsidRPr="000A0E1B">
        <w:t>are an Excluded Supplier or an Excludable Supplier</w:t>
      </w:r>
      <w:r>
        <w:t>, or is aware of an Associated Person or sub-contractor having been replaced, it will give notice of this fact within 30 days of its decision to the Procurement Review Unit.</w:t>
      </w:r>
    </w:p>
    <w:p w14:paraId="40FE8436" w14:textId="48B8F353" w:rsidR="003F2630" w:rsidRPr="003F2630" w:rsidRDefault="006D77DD" w:rsidP="006D77DD">
      <w:pPr>
        <w:pStyle w:val="Level2"/>
        <w:numPr>
          <w:ilvl w:val="0"/>
          <w:numId w:val="0"/>
        </w:numPr>
        <w:rPr>
          <w:b/>
          <w:bCs/>
        </w:rPr>
      </w:pPr>
      <w:r w:rsidRPr="003F2630">
        <w:rPr>
          <w:b/>
          <w:bCs/>
        </w:rPr>
        <w:t>Economic and Financial Standing</w:t>
      </w:r>
    </w:p>
    <w:p w14:paraId="11AC7F57" w14:textId="548E1265" w:rsidR="006D77DD" w:rsidRPr="006D77DD" w:rsidRDefault="006D77DD" w:rsidP="00AA0F4D">
      <w:pPr>
        <w:pStyle w:val="Level2"/>
        <w:numPr>
          <w:ilvl w:val="1"/>
          <w:numId w:val="24"/>
        </w:numPr>
      </w:pPr>
      <w:r w:rsidRPr="006D77DD">
        <w:t xml:space="preserve">The Economic and Financial Standing questions </w:t>
      </w:r>
      <w:r w:rsidR="004A150C">
        <w:t>13,14 and 15</w:t>
      </w:r>
      <w:r w:rsidRPr="006D77DD">
        <w:t xml:space="preserve"> of the PSQ are designed to evaluate whether the Supplier has sufficient economic and financial standing to deliver the </w:t>
      </w:r>
      <w:r w:rsidR="006179BE">
        <w:t>C</w:t>
      </w:r>
      <w:r w:rsidRPr="006D77DD">
        <w:t xml:space="preserve">ontract. </w:t>
      </w:r>
    </w:p>
    <w:p w14:paraId="219DF43D" w14:textId="77777777" w:rsidR="006D77DD" w:rsidRPr="006D77DD" w:rsidRDefault="006D77DD" w:rsidP="00AA0F4D">
      <w:pPr>
        <w:pStyle w:val="Level2"/>
        <w:numPr>
          <w:ilvl w:val="1"/>
          <w:numId w:val="24"/>
        </w:numPr>
      </w:pPr>
      <w:r w:rsidRPr="006D77DD">
        <w:t>They are assessed on a Pass / Fail basis as follows:</w:t>
      </w:r>
    </w:p>
    <w:p w14:paraId="43AF9483" w14:textId="7A2A17A0" w:rsidR="006D77DD" w:rsidRPr="006D77DD" w:rsidRDefault="00103F70" w:rsidP="00103F70">
      <w:pPr>
        <w:pStyle w:val="Level2"/>
        <w:numPr>
          <w:ilvl w:val="0"/>
          <w:numId w:val="0"/>
        </w:numPr>
        <w:ind w:left="720"/>
      </w:pPr>
      <w:r>
        <w:t>Q13 Yes = Fail; No = Pass</w:t>
      </w:r>
    </w:p>
    <w:p w14:paraId="138D378B" w14:textId="4A1C3421" w:rsidR="006D77DD" w:rsidRDefault="006D77DD" w:rsidP="00AA0F4D">
      <w:pPr>
        <w:pStyle w:val="Level2"/>
        <w:numPr>
          <w:ilvl w:val="1"/>
          <w:numId w:val="24"/>
        </w:numPr>
      </w:pPr>
      <w:r w:rsidRPr="006D77DD">
        <w:t>If the Tender response is awarded a “Fail” score, the Tender response will be excluded from the Procurement.</w:t>
      </w:r>
    </w:p>
    <w:p w14:paraId="6567B180" w14:textId="53482ED3" w:rsidR="006D77DD" w:rsidRPr="003F2630" w:rsidRDefault="006D77DD" w:rsidP="006D77DD">
      <w:pPr>
        <w:pStyle w:val="Level2"/>
        <w:numPr>
          <w:ilvl w:val="0"/>
          <w:numId w:val="0"/>
        </w:numPr>
        <w:rPr>
          <w:b/>
          <w:bCs/>
        </w:rPr>
      </w:pPr>
      <w:r w:rsidRPr="003F2630">
        <w:rPr>
          <w:b/>
          <w:bCs/>
        </w:rPr>
        <w:t>Insurance</w:t>
      </w:r>
    </w:p>
    <w:p w14:paraId="619AC4A7" w14:textId="2E59293D" w:rsidR="006D77DD" w:rsidRPr="006D77DD" w:rsidRDefault="006D77DD" w:rsidP="00AA0F4D">
      <w:pPr>
        <w:pStyle w:val="Level2"/>
        <w:numPr>
          <w:ilvl w:val="1"/>
          <w:numId w:val="24"/>
        </w:numPr>
        <w:rPr>
          <w:b/>
          <w:bCs/>
        </w:rPr>
      </w:pPr>
      <w:r w:rsidRPr="006D77DD">
        <w:t>The insurance question</w:t>
      </w:r>
      <w:r w:rsidR="006510A6">
        <w:t xml:space="preserve"> 15</w:t>
      </w:r>
      <w:r w:rsidRPr="006D77DD">
        <w:t xml:space="preserve"> of the PSQ is assessed on a Pass/Fail basis. Suppliers are required to confirm compliance with the insurance requirements stated in the question by providing an unequivocal “Yes” response. Failure to do so will result in a “Fail” score and the Tender will be excluded from the Procurement.</w:t>
      </w:r>
      <w:r w:rsidRPr="006D77DD">
        <w:rPr>
          <w:b/>
          <w:bCs/>
        </w:rPr>
        <w:t xml:space="preserve"> </w:t>
      </w:r>
    </w:p>
    <w:p w14:paraId="1645EC17" w14:textId="2AD7CC84" w:rsidR="006D77DD" w:rsidRPr="003F2630" w:rsidRDefault="006D77DD" w:rsidP="006D77DD">
      <w:pPr>
        <w:pStyle w:val="Level2"/>
        <w:numPr>
          <w:ilvl w:val="0"/>
          <w:numId w:val="0"/>
        </w:numPr>
        <w:rPr>
          <w:b/>
          <w:bCs/>
        </w:rPr>
      </w:pPr>
      <w:r w:rsidRPr="003F2630">
        <w:rPr>
          <w:b/>
          <w:bCs/>
        </w:rPr>
        <w:t>UK GDPR</w:t>
      </w:r>
    </w:p>
    <w:p w14:paraId="39AA354D" w14:textId="08CBA517" w:rsidR="006D77DD" w:rsidRPr="006D77DD" w:rsidRDefault="006D77DD" w:rsidP="00AA0F4D">
      <w:pPr>
        <w:pStyle w:val="Level2"/>
        <w:numPr>
          <w:ilvl w:val="1"/>
          <w:numId w:val="24"/>
        </w:numPr>
      </w:pPr>
      <w:r w:rsidRPr="006D77DD">
        <w:t xml:space="preserve">The UK GDPR question </w:t>
      </w:r>
      <w:r w:rsidR="00DD1200">
        <w:t>17</w:t>
      </w:r>
      <w:r w:rsidRPr="006D77DD">
        <w:t xml:space="preserve"> of the PSQ is assessed on a Pass/Fail basis. The response will be awarded a “Pass” if it provides the </w:t>
      </w:r>
      <w:r w:rsidR="00DA171D">
        <w:t>Trust</w:t>
      </w:r>
      <w:r w:rsidRPr="006D77DD">
        <w:t xml:space="preserve"> with confidence in the Supplier’s ability to deliver the </w:t>
      </w:r>
      <w:r w:rsidR="006179BE">
        <w:t>C</w:t>
      </w:r>
      <w:r w:rsidRPr="006D77DD">
        <w:t xml:space="preserve">ontract in compliance with UK data protection law and ensuring the protection of the rights of data subjects. Otherwise, the response will “Fail” and the Tender will be excluded from the Procurement. </w:t>
      </w:r>
    </w:p>
    <w:p w14:paraId="67550790" w14:textId="28C26E39" w:rsidR="003F2630" w:rsidRPr="000E48FF" w:rsidRDefault="006D77DD" w:rsidP="006D77DD">
      <w:pPr>
        <w:pStyle w:val="Level2"/>
        <w:numPr>
          <w:ilvl w:val="0"/>
          <w:numId w:val="0"/>
        </w:numPr>
        <w:rPr>
          <w:b/>
          <w:bCs/>
        </w:rPr>
      </w:pPr>
      <w:r w:rsidRPr="006E544A">
        <w:rPr>
          <w:b/>
          <w:bCs/>
        </w:rPr>
        <w:t>Technical and Professional Ability</w:t>
      </w:r>
    </w:p>
    <w:p w14:paraId="20331166" w14:textId="2A8B44FF" w:rsidR="006D77DD" w:rsidRDefault="006D77DD" w:rsidP="00AA0F4D">
      <w:pPr>
        <w:pStyle w:val="Level2"/>
        <w:numPr>
          <w:ilvl w:val="1"/>
          <w:numId w:val="24"/>
        </w:numPr>
      </w:pPr>
      <w:r w:rsidRPr="006D77DD">
        <w:t xml:space="preserve">The Technical and Professional Ability question </w:t>
      </w:r>
      <w:r w:rsidR="008E4EA0">
        <w:t>18</w:t>
      </w:r>
      <w:r w:rsidRPr="006D77DD">
        <w:t xml:space="preserve"> in the PSQ is designed to evaluate the Supplier's technical and professional ability to deliver the </w:t>
      </w:r>
      <w:r w:rsidR="006179BE">
        <w:t>C</w:t>
      </w:r>
      <w:r w:rsidRPr="006D77DD">
        <w:t xml:space="preserve">ontract. This section is </w:t>
      </w:r>
      <w:r w:rsidRPr="006D77DD">
        <w:lastRenderedPageBreak/>
        <w:t>scored on a "Pass/Fail" basis. The response will be evaluated in accordance with the evaluation criteria in the Table below. If the Tender response is awarded a “Fail” score, the Tender response will be excluded from the Procurement.</w:t>
      </w:r>
    </w:p>
    <w:tbl>
      <w:tblPr>
        <w:tblStyle w:val="TableGrid"/>
        <w:tblW w:w="0" w:type="auto"/>
        <w:tblInd w:w="720" w:type="dxa"/>
        <w:tblLook w:val="04A0" w:firstRow="1" w:lastRow="0" w:firstColumn="1" w:lastColumn="0" w:noHBand="0" w:noVBand="1"/>
      </w:tblPr>
      <w:tblGrid>
        <w:gridCol w:w="6079"/>
        <w:gridCol w:w="1699"/>
      </w:tblGrid>
      <w:tr w:rsidR="006D77DD" w14:paraId="367BB58E" w14:textId="77777777" w:rsidTr="003F2630">
        <w:tc>
          <w:tcPr>
            <w:tcW w:w="6079" w:type="dxa"/>
            <w:shd w:val="clear" w:color="auto" w:fill="F9CFE9" w:themeFill="text1" w:themeFillTint="33"/>
          </w:tcPr>
          <w:p w14:paraId="007623D1" w14:textId="7F8B11D5" w:rsidR="006D77DD" w:rsidRPr="003F2630" w:rsidRDefault="003F2630" w:rsidP="006D77DD">
            <w:pPr>
              <w:pStyle w:val="Level2"/>
              <w:numPr>
                <w:ilvl w:val="0"/>
                <w:numId w:val="0"/>
              </w:numPr>
              <w:rPr>
                <w:b/>
                <w:bCs/>
              </w:rPr>
            </w:pPr>
            <w:r w:rsidRPr="003F2630">
              <w:rPr>
                <w:b/>
                <w:bCs/>
              </w:rPr>
              <w:t>Criteria</w:t>
            </w:r>
          </w:p>
        </w:tc>
        <w:tc>
          <w:tcPr>
            <w:tcW w:w="1699" w:type="dxa"/>
            <w:shd w:val="clear" w:color="auto" w:fill="F9CFE9" w:themeFill="text1" w:themeFillTint="33"/>
          </w:tcPr>
          <w:p w14:paraId="4F48CA0A" w14:textId="3FDDDB6B" w:rsidR="006D77DD" w:rsidRPr="003F2630" w:rsidRDefault="003F2630" w:rsidP="006D77DD">
            <w:pPr>
              <w:pStyle w:val="Level2"/>
              <w:numPr>
                <w:ilvl w:val="0"/>
                <w:numId w:val="0"/>
              </w:numPr>
              <w:rPr>
                <w:b/>
                <w:bCs/>
              </w:rPr>
            </w:pPr>
            <w:r w:rsidRPr="003F2630">
              <w:rPr>
                <w:b/>
                <w:bCs/>
              </w:rPr>
              <w:t>Score</w:t>
            </w:r>
          </w:p>
        </w:tc>
      </w:tr>
      <w:tr w:rsidR="006D77DD" w14:paraId="2551F638" w14:textId="77777777" w:rsidTr="003F2630">
        <w:tc>
          <w:tcPr>
            <w:tcW w:w="6079" w:type="dxa"/>
            <w:shd w:val="clear" w:color="auto" w:fill="D9D9D9" w:themeFill="background1" w:themeFillShade="D9"/>
          </w:tcPr>
          <w:p w14:paraId="42F0D84F" w14:textId="48B53EF2" w:rsidR="006D77DD" w:rsidRDefault="003F2630" w:rsidP="006D77DD">
            <w:pPr>
              <w:pStyle w:val="Level2"/>
              <w:numPr>
                <w:ilvl w:val="0"/>
                <w:numId w:val="0"/>
              </w:numPr>
            </w:pPr>
            <w:r w:rsidRPr="003F2630">
              <w:t>The Supplier’s response fails to give the evaluator any confidence that the Applicant has experience of delivering a similar contract.</w:t>
            </w:r>
          </w:p>
        </w:tc>
        <w:tc>
          <w:tcPr>
            <w:tcW w:w="1699" w:type="dxa"/>
            <w:shd w:val="clear" w:color="auto" w:fill="D9D9D9" w:themeFill="background1" w:themeFillShade="D9"/>
          </w:tcPr>
          <w:p w14:paraId="2CA732BB" w14:textId="0B8FC5C1" w:rsidR="006D77DD" w:rsidRDefault="003F2630" w:rsidP="006D77DD">
            <w:pPr>
              <w:pStyle w:val="Level2"/>
              <w:numPr>
                <w:ilvl w:val="0"/>
                <w:numId w:val="0"/>
              </w:numPr>
            </w:pPr>
            <w:r>
              <w:t>Fail</w:t>
            </w:r>
          </w:p>
        </w:tc>
      </w:tr>
      <w:tr w:rsidR="006D77DD" w14:paraId="21CE578C" w14:textId="77777777" w:rsidTr="003F2630">
        <w:tc>
          <w:tcPr>
            <w:tcW w:w="6079" w:type="dxa"/>
            <w:shd w:val="clear" w:color="auto" w:fill="D9D9D9" w:themeFill="background1" w:themeFillShade="D9"/>
          </w:tcPr>
          <w:p w14:paraId="545F845B" w14:textId="1A3A1E03" w:rsidR="006D77DD" w:rsidRDefault="003F2630" w:rsidP="006D77DD">
            <w:pPr>
              <w:pStyle w:val="Level2"/>
              <w:numPr>
                <w:ilvl w:val="0"/>
                <w:numId w:val="0"/>
              </w:numPr>
            </w:pPr>
            <w:r w:rsidRPr="003F2630">
              <w:t>The Supplier provides a response which gives the evaluator confidence that the Supplier has experience of delivering a similar contract.</w:t>
            </w:r>
          </w:p>
        </w:tc>
        <w:tc>
          <w:tcPr>
            <w:tcW w:w="1699" w:type="dxa"/>
            <w:shd w:val="clear" w:color="auto" w:fill="D9D9D9" w:themeFill="background1" w:themeFillShade="D9"/>
          </w:tcPr>
          <w:p w14:paraId="6F6571DE" w14:textId="709C36C5" w:rsidR="006D77DD" w:rsidRDefault="003F2630" w:rsidP="006D77DD">
            <w:pPr>
              <w:pStyle w:val="Level2"/>
              <w:numPr>
                <w:ilvl w:val="0"/>
                <w:numId w:val="0"/>
              </w:numPr>
            </w:pPr>
            <w:r>
              <w:t>Pass</w:t>
            </w:r>
          </w:p>
        </w:tc>
      </w:tr>
    </w:tbl>
    <w:p w14:paraId="4BA97834" w14:textId="77777777" w:rsidR="006D77DD" w:rsidRPr="006D77DD" w:rsidRDefault="006D77DD" w:rsidP="006D77DD">
      <w:pPr>
        <w:pStyle w:val="Level2"/>
        <w:numPr>
          <w:ilvl w:val="0"/>
          <w:numId w:val="0"/>
        </w:numPr>
        <w:ind w:left="720"/>
      </w:pPr>
    </w:p>
    <w:p w14:paraId="7E05E655" w14:textId="3BA61BB5" w:rsidR="006D77DD" w:rsidRDefault="006D77DD" w:rsidP="00AA0F4D">
      <w:pPr>
        <w:pStyle w:val="Level2"/>
        <w:numPr>
          <w:ilvl w:val="1"/>
          <w:numId w:val="24"/>
        </w:numPr>
      </w:pPr>
      <w:r w:rsidRPr="006D77DD">
        <w:t xml:space="preserve">The </w:t>
      </w:r>
      <w:r w:rsidR="00DA171D">
        <w:t>Trust</w:t>
      </w:r>
      <w:r w:rsidRPr="006D77DD">
        <w:t xml:space="preserve"> reserves the right to contact a customer organisation in relation to whom a case study has been given to ask them to complete a reference to verify that the information provided by the Supplier. Suppliers may be required to assist the </w:t>
      </w:r>
      <w:r w:rsidR="00DA171D">
        <w:t>Trust</w:t>
      </w:r>
      <w:r w:rsidRPr="006D77DD">
        <w:t xml:space="preserve"> in taking up a reference and for making sure that the appropriate contact is available and willing to provide a reference</w:t>
      </w:r>
      <w:r>
        <w:t>.</w:t>
      </w:r>
    </w:p>
    <w:p w14:paraId="75C2C6B2" w14:textId="7ABB2C8D" w:rsidR="006D77DD" w:rsidRPr="00762090" w:rsidRDefault="006D77DD" w:rsidP="006D77DD">
      <w:pPr>
        <w:pStyle w:val="Level2"/>
        <w:numPr>
          <w:ilvl w:val="0"/>
          <w:numId w:val="0"/>
        </w:numPr>
        <w:rPr>
          <w:b/>
          <w:bCs/>
        </w:rPr>
      </w:pPr>
      <w:r w:rsidRPr="00762090">
        <w:rPr>
          <w:b/>
          <w:bCs/>
        </w:rPr>
        <w:t>Sub-contractor management</w:t>
      </w:r>
    </w:p>
    <w:p w14:paraId="25E3207A" w14:textId="291751C2" w:rsidR="006D77DD" w:rsidRPr="006D77DD" w:rsidRDefault="006D77DD" w:rsidP="00AA0F4D">
      <w:pPr>
        <w:pStyle w:val="Level2"/>
        <w:numPr>
          <w:ilvl w:val="1"/>
          <w:numId w:val="24"/>
        </w:numPr>
      </w:pPr>
      <w:r w:rsidRPr="006D77DD">
        <w:t xml:space="preserve">The sub-contractor management question </w:t>
      </w:r>
      <w:r w:rsidR="008E4EA0">
        <w:t>19</w:t>
      </w:r>
      <w:r w:rsidRPr="006D77DD">
        <w:t xml:space="preserve"> of the PSQ is assessed on a Pass/Fail basis. The response will be awarded a “Pass” where either no subcontracting is intended or, where subcontracting is intended, the Supplier’s response provides evidence that the Supplier has previously maintained healthy supply chains or otherwise gives the </w:t>
      </w:r>
      <w:r w:rsidR="00DA171D">
        <w:t>Trust</w:t>
      </w:r>
      <w:r w:rsidRPr="006D77DD">
        <w:t xml:space="preserve"> confidence that subcontracting will not give rise to significant concerns in terms of either:</w:t>
      </w:r>
    </w:p>
    <w:p w14:paraId="1561A70A" w14:textId="08453692" w:rsidR="006D77DD" w:rsidRPr="006D77DD" w:rsidRDefault="006D77DD" w:rsidP="00AA0F4D">
      <w:pPr>
        <w:pStyle w:val="Level3"/>
        <w:numPr>
          <w:ilvl w:val="2"/>
          <w:numId w:val="70"/>
        </w:numPr>
      </w:pPr>
      <w:r w:rsidRPr="006D77DD">
        <w:t xml:space="preserve">maintaining the requisite technical and professional ability to deliver the </w:t>
      </w:r>
      <w:r w:rsidR="006179BE">
        <w:t>C</w:t>
      </w:r>
      <w:r w:rsidRPr="006D77DD">
        <w:t>ontract; or</w:t>
      </w:r>
    </w:p>
    <w:p w14:paraId="5E51DF61" w14:textId="624B2FAA" w:rsidR="006D77DD" w:rsidRPr="006D77DD" w:rsidRDefault="006D77DD" w:rsidP="00AF0DFE">
      <w:pPr>
        <w:pStyle w:val="Level3"/>
      </w:pPr>
      <w:r w:rsidRPr="006D77DD">
        <w:t xml:space="preserve">otherwise affecting the Supplier’s ability to deliver the </w:t>
      </w:r>
      <w:r w:rsidR="006179BE">
        <w:t>C</w:t>
      </w:r>
      <w:r w:rsidRPr="006D77DD">
        <w:t>ontract to the requisite standards.</w:t>
      </w:r>
    </w:p>
    <w:p w14:paraId="05F387A6" w14:textId="77777777" w:rsidR="006D77DD" w:rsidRPr="006D77DD" w:rsidRDefault="006D77DD" w:rsidP="00AA0F4D">
      <w:pPr>
        <w:pStyle w:val="Level2"/>
        <w:numPr>
          <w:ilvl w:val="1"/>
          <w:numId w:val="24"/>
        </w:numPr>
      </w:pPr>
      <w:r w:rsidRPr="006D77DD">
        <w:t>Otherwise, the response will be awarded a “Fail” and the Tender will be excluded from the Procurement.</w:t>
      </w:r>
    </w:p>
    <w:p w14:paraId="6553ED84" w14:textId="044954F4" w:rsidR="006D77DD" w:rsidRPr="00762090" w:rsidRDefault="006D77DD" w:rsidP="006D77DD">
      <w:pPr>
        <w:pStyle w:val="Level2"/>
        <w:numPr>
          <w:ilvl w:val="0"/>
          <w:numId w:val="0"/>
        </w:numPr>
        <w:rPr>
          <w:b/>
          <w:bCs/>
        </w:rPr>
      </w:pPr>
      <w:r w:rsidRPr="00762090">
        <w:rPr>
          <w:b/>
          <w:bCs/>
        </w:rPr>
        <w:t>Organisational Standards</w:t>
      </w:r>
    </w:p>
    <w:p w14:paraId="5E52A45F" w14:textId="0E44F2B8" w:rsidR="006D77DD" w:rsidRPr="006D77DD" w:rsidRDefault="006D77DD" w:rsidP="00AA0F4D">
      <w:pPr>
        <w:pStyle w:val="Level2"/>
        <w:numPr>
          <w:ilvl w:val="1"/>
          <w:numId w:val="24"/>
        </w:numPr>
      </w:pPr>
      <w:r w:rsidRPr="006D77DD">
        <w:t>The question will be assessed as follows:</w:t>
      </w:r>
    </w:p>
    <w:p w14:paraId="6BC3BB78" w14:textId="5AD39312" w:rsidR="006D77DD" w:rsidRPr="006D77DD" w:rsidRDefault="00916FD9" w:rsidP="00916FD9">
      <w:pPr>
        <w:pStyle w:val="Level2"/>
        <w:numPr>
          <w:ilvl w:val="0"/>
          <w:numId w:val="0"/>
        </w:numPr>
      </w:pPr>
      <w:r w:rsidRPr="00916FD9">
        <w:t>According to any criteria outlined in the Service Specification and assessment criteria</w:t>
      </w:r>
      <w:r>
        <w:t>.</w:t>
      </w:r>
    </w:p>
    <w:p w14:paraId="31BAE3C4" w14:textId="1F7D442B" w:rsidR="002C0D70" w:rsidRDefault="002C0D70" w:rsidP="00AA0F4D">
      <w:pPr>
        <w:pStyle w:val="Level1Heading"/>
        <w:numPr>
          <w:ilvl w:val="0"/>
          <w:numId w:val="24"/>
        </w:numPr>
        <w:outlineLvl w:val="9"/>
      </w:pPr>
      <w:r>
        <w:t>Step 2: Technical and Commercial Envelope</w:t>
      </w:r>
    </w:p>
    <w:p w14:paraId="0FCB5602" w14:textId="17271D3E" w:rsidR="002C0D70" w:rsidRDefault="002C0D70" w:rsidP="00AA0F4D">
      <w:pPr>
        <w:pStyle w:val="Level2"/>
        <w:numPr>
          <w:ilvl w:val="1"/>
          <w:numId w:val="24"/>
        </w:numPr>
      </w:pPr>
      <w:r w:rsidRPr="002C0D70">
        <w:t xml:space="preserve">The Technical and Commercial envelope will be evaluated in accordance with the process set out below. The scores for Technical and Commercial will be aggregated using the weightings displayed in the table set out below to identify the </w:t>
      </w:r>
      <w:r w:rsidR="000A0E1B">
        <w:t>m</w:t>
      </w:r>
      <w:r w:rsidRPr="002C0D70">
        <w:t xml:space="preserve">ost </w:t>
      </w:r>
      <w:r w:rsidR="000A0E1B">
        <w:t>a</w:t>
      </w:r>
      <w:r w:rsidRPr="002C0D70">
        <w:t xml:space="preserve">dvantageous </w:t>
      </w:r>
      <w:r w:rsidR="000A0E1B">
        <w:t>t</w:t>
      </w:r>
      <w:r w:rsidRPr="002C0D70">
        <w:t>ender</w:t>
      </w:r>
      <w:r w:rsidR="000A0E1B">
        <w:t>s</w:t>
      </w:r>
      <w:r w:rsidR="008B3536">
        <w:t>. See Section 4 (Overview of the Trust’s requirements) of this ITT on the number of Suppliers that will be appointed to the framework</w:t>
      </w:r>
      <w:r w:rsidRPr="002C0D70">
        <w:t>:</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3"/>
        <w:gridCol w:w="5883"/>
        <w:gridCol w:w="1271"/>
      </w:tblGrid>
      <w:tr w:rsidR="001C436E" w:rsidRPr="00EB76A9" w14:paraId="711C4F45" w14:textId="77777777" w:rsidTr="0013095B">
        <w:trPr>
          <w:trHeight w:val="765"/>
        </w:trPr>
        <w:tc>
          <w:tcPr>
            <w:tcW w:w="1268" w:type="dxa"/>
            <w:tcBorders>
              <w:top w:val="single" w:sz="6" w:space="0" w:color="auto"/>
              <w:left w:val="single" w:sz="6" w:space="0" w:color="auto"/>
              <w:bottom w:val="single" w:sz="6" w:space="0" w:color="auto"/>
              <w:right w:val="single" w:sz="6" w:space="0" w:color="auto"/>
            </w:tcBorders>
            <w:shd w:val="clear" w:color="auto" w:fill="F9CFE9"/>
            <w:hideMark/>
          </w:tcPr>
          <w:p w14:paraId="23573C89" w14:textId="77777777" w:rsidR="001C436E" w:rsidRPr="00EB76A9" w:rsidRDefault="001C436E" w:rsidP="00256EAD">
            <w:pPr>
              <w:adjustRightInd/>
              <w:ind w:left="127"/>
              <w:textAlignment w:val="baseline"/>
              <w:rPr>
                <w:rFonts w:ascii="Segoe UI" w:eastAsia="Times New Roman" w:hAnsi="Segoe UI" w:cs="Segoe UI"/>
                <w:sz w:val="18"/>
                <w:szCs w:val="18"/>
              </w:rPr>
            </w:pPr>
            <w:r w:rsidRPr="00EB76A9">
              <w:rPr>
                <w:rFonts w:eastAsia="Times New Roman" w:cs="Arial"/>
                <w:b/>
                <w:bCs/>
                <w:color w:val="000000"/>
              </w:rPr>
              <w:t>Section</w:t>
            </w:r>
            <w:r w:rsidRPr="00EB76A9">
              <w:rPr>
                <w:rFonts w:eastAsia="Times New Roman" w:cs="Arial"/>
                <w:color w:val="000000"/>
              </w:rPr>
              <w:t> </w:t>
            </w:r>
          </w:p>
        </w:tc>
        <w:tc>
          <w:tcPr>
            <w:tcW w:w="5954" w:type="dxa"/>
            <w:tcBorders>
              <w:top w:val="single" w:sz="6" w:space="0" w:color="auto"/>
              <w:left w:val="single" w:sz="6" w:space="0" w:color="auto"/>
              <w:bottom w:val="single" w:sz="6" w:space="0" w:color="auto"/>
              <w:right w:val="single" w:sz="6" w:space="0" w:color="auto"/>
            </w:tcBorders>
            <w:shd w:val="clear" w:color="auto" w:fill="F9CFE9"/>
            <w:hideMark/>
          </w:tcPr>
          <w:p w14:paraId="64BA1987" w14:textId="77777777" w:rsidR="001C436E" w:rsidRPr="00EB76A9" w:rsidRDefault="001C436E" w:rsidP="00256EAD">
            <w:pPr>
              <w:adjustRightInd/>
              <w:ind w:left="143"/>
              <w:textAlignment w:val="baseline"/>
              <w:rPr>
                <w:rFonts w:ascii="Segoe UI" w:eastAsia="Times New Roman" w:hAnsi="Segoe UI" w:cs="Segoe UI"/>
                <w:sz w:val="18"/>
                <w:szCs w:val="18"/>
              </w:rPr>
            </w:pPr>
            <w:r w:rsidRPr="00EB76A9">
              <w:rPr>
                <w:rFonts w:eastAsia="Times New Roman" w:cs="Arial"/>
                <w:b/>
                <w:bCs/>
                <w:color w:val="000000"/>
              </w:rPr>
              <w:t>Question</w:t>
            </w:r>
            <w:r w:rsidRPr="00EB76A9">
              <w:rPr>
                <w:rFonts w:eastAsia="Times New Roman" w:cs="Arial"/>
                <w:color w:val="000000"/>
              </w:rPr>
              <w:t> </w:t>
            </w:r>
          </w:p>
        </w:tc>
        <w:tc>
          <w:tcPr>
            <w:tcW w:w="1275" w:type="dxa"/>
            <w:tcBorders>
              <w:top w:val="single" w:sz="6" w:space="0" w:color="auto"/>
              <w:left w:val="single" w:sz="6" w:space="0" w:color="auto"/>
              <w:bottom w:val="single" w:sz="6" w:space="0" w:color="auto"/>
              <w:right w:val="single" w:sz="6" w:space="0" w:color="auto"/>
            </w:tcBorders>
            <w:shd w:val="clear" w:color="auto" w:fill="F9CFE9"/>
            <w:hideMark/>
          </w:tcPr>
          <w:p w14:paraId="52722E01" w14:textId="3A204C17" w:rsidR="001C436E" w:rsidRPr="00EB76A9" w:rsidRDefault="001C436E" w:rsidP="0013095B">
            <w:pPr>
              <w:adjustRightInd/>
              <w:jc w:val="center"/>
              <w:textAlignment w:val="baseline"/>
              <w:rPr>
                <w:rFonts w:ascii="Segoe UI" w:eastAsia="Times New Roman" w:hAnsi="Segoe UI" w:cs="Segoe UI"/>
                <w:sz w:val="18"/>
                <w:szCs w:val="18"/>
              </w:rPr>
            </w:pPr>
            <w:r w:rsidRPr="00EB76A9">
              <w:rPr>
                <w:rFonts w:eastAsia="Times New Roman" w:cs="Arial"/>
                <w:b/>
                <w:bCs/>
                <w:color w:val="000000"/>
              </w:rPr>
              <w:t>Weighting</w:t>
            </w:r>
          </w:p>
          <w:p w14:paraId="015BADAA" w14:textId="77777777" w:rsidR="001C436E" w:rsidRPr="00EB76A9" w:rsidRDefault="001C436E" w:rsidP="00D61BDA">
            <w:pPr>
              <w:adjustRightInd/>
              <w:ind w:left="141"/>
              <w:textAlignment w:val="baseline"/>
              <w:rPr>
                <w:rFonts w:ascii="Segoe UI" w:eastAsia="Times New Roman" w:hAnsi="Segoe UI" w:cs="Segoe UI"/>
                <w:sz w:val="18"/>
                <w:szCs w:val="18"/>
              </w:rPr>
            </w:pPr>
            <w:r w:rsidRPr="00EB76A9">
              <w:rPr>
                <w:rFonts w:eastAsia="Times New Roman" w:cs="Arial"/>
                <w:b/>
                <w:bCs/>
                <w:color w:val="000000"/>
              </w:rPr>
              <w:t>(%)</w:t>
            </w:r>
            <w:r w:rsidRPr="00EB76A9">
              <w:rPr>
                <w:rFonts w:eastAsia="Times New Roman" w:cs="Arial"/>
                <w:color w:val="000000"/>
              </w:rPr>
              <w:t> </w:t>
            </w:r>
          </w:p>
          <w:p w14:paraId="3522094E" w14:textId="77777777" w:rsidR="001C436E" w:rsidRPr="00EB76A9" w:rsidRDefault="001C436E" w:rsidP="00EB76A9">
            <w:pPr>
              <w:adjustRightInd/>
              <w:textAlignment w:val="baseline"/>
              <w:rPr>
                <w:rFonts w:ascii="Segoe UI" w:eastAsia="Times New Roman" w:hAnsi="Segoe UI" w:cs="Segoe UI"/>
                <w:sz w:val="18"/>
                <w:szCs w:val="18"/>
              </w:rPr>
            </w:pPr>
            <w:r w:rsidRPr="00EB76A9">
              <w:rPr>
                <w:rFonts w:eastAsia="Times New Roman" w:cs="Arial"/>
                <w:b/>
                <w:bCs/>
              </w:rPr>
              <w:t> </w:t>
            </w:r>
            <w:r w:rsidRPr="00EB76A9">
              <w:rPr>
                <w:rFonts w:eastAsia="Times New Roman" w:cs="Arial"/>
              </w:rPr>
              <w:t> </w:t>
            </w:r>
          </w:p>
        </w:tc>
      </w:tr>
      <w:tr w:rsidR="001C436E" w:rsidRPr="00EB76A9" w14:paraId="41DE1904" w14:textId="77777777" w:rsidTr="00F91278">
        <w:trPr>
          <w:trHeight w:val="694"/>
        </w:trPr>
        <w:tc>
          <w:tcPr>
            <w:tcW w:w="1268" w:type="dxa"/>
            <w:vMerge w:val="restart"/>
            <w:tcBorders>
              <w:top w:val="single" w:sz="6" w:space="0" w:color="auto"/>
              <w:left w:val="single" w:sz="6" w:space="0" w:color="auto"/>
              <w:right w:val="single" w:sz="6" w:space="0" w:color="auto"/>
            </w:tcBorders>
            <w:hideMark/>
          </w:tcPr>
          <w:p w14:paraId="6619F5F6" w14:textId="77777777" w:rsidR="001C436E" w:rsidRPr="00EB76A9" w:rsidRDefault="001C436E" w:rsidP="00256EAD">
            <w:pPr>
              <w:adjustRightInd/>
              <w:ind w:left="127"/>
              <w:textAlignment w:val="baseline"/>
              <w:rPr>
                <w:rFonts w:ascii="Segoe UI" w:eastAsia="Times New Roman" w:hAnsi="Segoe UI" w:cs="Segoe UI"/>
                <w:sz w:val="18"/>
                <w:szCs w:val="18"/>
              </w:rPr>
            </w:pPr>
            <w:r w:rsidRPr="00EB76A9">
              <w:rPr>
                <w:rFonts w:eastAsia="Times New Roman" w:cs="Arial"/>
                <w:b/>
                <w:bCs/>
              </w:rPr>
              <w:t>Technical</w:t>
            </w:r>
            <w:r w:rsidRPr="00EB76A9">
              <w:rPr>
                <w:rFonts w:eastAsia="Times New Roman" w:cs="Arial"/>
              </w:rPr>
              <w:t> </w:t>
            </w:r>
          </w:p>
        </w:tc>
        <w:tc>
          <w:tcPr>
            <w:tcW w:w="5954" w:type="dxa"/>
            <w:tcBorders>
              <w:top w:val="single" w:sz="6" w:space="0" w:color="auto"/>
              <w:left w:val="single" w:sz="6" w:space="0" w:color="auto"/>
              <w:bottom w:val="single" w:sz="6" w:space="0" w:color="auto"/>
              <w:right w:val="single" w:sz="6" w:space="0" w:color="auto"/>
            </w:tcBorders>
            <w:hideMark/>
          </w:tcPr>
          <w:p w14:paraId="5D4FEB06" w14:textId="4863561A" w:rsidR="00F91278" w:rsidRPr="00F91278" w:rsidRDefault="001C436E" w:rsidP="00F91278">
            <w:pPr>
              <w:adjustRightInd/>
              <w:ind w:left="120" w:right="117" w:firstLine="15"/>
              <w:textAlignment w:val="baseline"/>
              <w:rPr>
                <w:rFonts w:eastAsia="Times New Roman" w:cs="Arial"/>
              </w:rPr>
            </w:pPr>
            <w:r w:rsidRPr="006D71C6">
              <w:rPr>
                <w:rFonts w:eastAsia="Times New Roman" w:cs="Arial"/>
                <w:b/>
                <w:bCs/>
              </w:rPr>
              <w:t>1. Relevant experience and capabilities</w:t>
            </w:r>
            <w:r>
              <w:rPr>
                <w:rFonts w:eastAsia="Times New Roman" w:cs="Arial"/>
              </w:rPr>
              <w:t xml:space="preserve">. </w:t>
            </w:r>
            <w:r w:rsidRPr="00146F53">
              <w:rPr>
                <w:rFonts w:eastAsia="Times New Roman" w:cs="Arial"/>
              </w:rPr>
              <w:t xml:space="preserve">Please set out your organisation's </w:t>
            </w:r>
            <w:r w:rsidRPr="008E7B9B">
              <w:rPr>
                <w:rFonts w:eastAsia="Times New Roman" w:cs="Arial"/>
              </w:rPr>
              <w:t>experience of delivering services of the type and scale envisaged under this framework</w:t>
            </w:r>
            <w:r w:rsidR="00A14610">
              <w:rPr>
                <w:rFonts w:eastAsia="Times New Roman" w:cs="Arial"/>
              </w:rPr>
              <w:t xml:space="preserve">, as </w:t>
            </w:r>
            <w:r w:rsidR="00F91278">
              <w:rPr>
                <w:rFonts w:eastAsia="Times New Roman" w:cs="Arial"/>
              </w:rPr>
              <w:t>outlined in the Service Specification,</w:t>
            </w:r>
            <w:r w:rsidRPr="008E7B9B">
              <w:rPr>
                <w:rFonts w:eastAsia="Times New Roman" w:cs="Arial"/>
              </w:rPr>
              <w:t xml:space="preserve"> over the last three years. Provide up to </w:t>
            </w:r>
            <w:r>
              <w:rPr>
                <w:rFonts w:eastAsia="Times New Roman" w:cs="Arial"/>
              </w:rPr>
              <w:lastRenderedPageBreak/>
              <w:t>three examples of previous relevant projects (you can expand on the examples used in the PSQ or use additional examples)</w:t>
            </w:r>
            <w:r w:rsidRPr="008E7B9B">
              <w:rPr>
                <w:rFonts w:eastAsia="Times New Roman" w:cs="Arial"/>
              </w:rPr>
              <w:t>.</w:t>
            </w:r>
          </w:p>
          <w:p w14:paraId="7FCC75AD" w14:textId="257635C9" w:rsidR="00F91278" w:rsidRPr="00F91278" w:rsidRDefault="00F91278" w:rsidP="00F91278">
            <w:pPr>
              <w:rPr>
                <w:rFonts w:ascii="Segoe UI" w:eastAsia="Times New Roman" w:hAnsi="Segoe UI" w:cs="Segoe UI"/>
                <w:sz w:val="18"/>
                <w:szCs w:val="18"/>
              </w:rPr>
            </w:pPr>
          </w:p>
        </w:tc>
        <w:tc>
          <w:tcPr>
            <w:tcW w:w="1275" w:type="dxa"/>
            <w:tcBorders>
              <w:top w:val="single" w:sz="6" w:space="0" w:color="auto"/>
              <w:left w:val="single" w:sz="6" w:space="0" w:color="auto"/>
              <w:bottom w:val="single" w:sz="6" w:space="0" w:color="auto"/>
              <w:right w:val="single" w:sz="6" w:space="0" w:color="auto"/>
            </w:tcBorders>
            <w:hideMark/>
          </w:tcPr>
          <w:p w14:paraId="61CB6FFF" w14:textId="74DC25C0" w:rsidR="001C436E" w:rsidRPr="00EB76A9" w:rsidRDefault="00DE7376" w:rsidP="002E4456">
            <w:pPr>
              <w:adjustRightInd/>
              <w:ind w:left="153"/>
              <w:textAlignment w:val="baseline"/>
              <w:rPr>
                <w:rFonts w:ascii="Segoe UI" w:eastAsia="Times New Roman" w:hAnsi="Segoe UI" w:cs="Segoe UI"/>
                <w:sz w:val="18"/>
                <w:szCs w:val="18"/>
              </w:rPr>
            </w:pPr>
            <w:r>
              <w:rPr>
                <w:rFonts w:eastAsia="Times New Roman" w:cs="Arial"/>
              </w:rPr>
              <w:lastRenderedPageBreak/>
              <w:t>30</w:t>
            </w:r>
            <w:r w:rsidR="001C436E" w:rsidRPr="00EB76A9">
              <w:rPr>
                <w:rFonts w:eastAsia="Times New Roman" w:cs="Arial"/>
              </w:rPr>
              <w:t>% </w:t>
            </w:r>
          </w:p>
        </w:tc>
      </w:tr>
      <w:tr w:rsidR="00A42D39" w:rsidRPr="00EB76A9" w14:paraId="20328B95" w14:textId="77777777" w:rsidTr="0013095B">
        <w:trPr>
          <w:trHeight w:val="1170"/>
        </w:trPr>
        <w:tc>
          <w:tcPr>
            <w:tcW w:w="1268" w:type="dxa"/>
            <w:vMerge/>
            <w:tcBorders>
              <w:top w:val="single" w:sz="6" w:space="0" w:color="auto"/>
              <w:left w:val="single" w:sz="6" w:space="0" w:color="auto"/>
              <w:right w:val="single" w:sz="6" w:space="0" w:color="auto"/>
            </w:tcBorders>
          </w:tcPr>
          <w:p w14:paraId="794F6169" w14:textId="77777777" w:rsidR="00A42D39" w:rsidRPr="00EB76A9" w:rsidRDefault="00A42D39" w:rsidP="00EB76A9">
            <w:pPr>
              <w:adjustRightInd/>
              <w:textAlignment w:val="baseline"/>
              <w:rPr>
                <w:rFonts w:eastAsia="Times New Roman" w:cs="Arial"/>
                <w:b/>
                <w:bCs/>
              </w:rPr>
            </w:pPr>
          </w:p>
        </w:tc>
        <w:tc>
          <w:tcPr>
            <w:tcW w:w="5954" w:type="dxa"/>
            <w:tcBorders>
              <w:top w:val="single" w:sz="6" w:space="0" w:color="auto"/>
              <w:left w:val="single" w:sz="6" w:space="0" w:color="auto"/>
              <w:bottom w:val="single" w:sz="6" w:space="0" w:color="auto"/>
              <w:right w:val="single" w:sz="6" w:space="0" w:color="auto"/>
            </w:tcBorders>
          </w:tcPr>
          <w:p w14:paraId="5C8D3417" w14:textId="3D76A493" w:rsidR="00A42D39" w:rsidRDefault="00B25CAE" w:rsidP="00460C5A">
            <w:pPr>
              <w:adjustRightInd/>
              <w:ind w:left="120" w:right="117" w:firstLine="15"/>
              <w:textAlignment w:val="baseline"/>
              <w:rPr>
                <w:rFonts w:eastAsia="Times New Roman" w:cs="Arial"/>
              </w:rPr>
            </w:pPr>
            <w:r>
              <w:rPr>
                <w:rFonts w:eastAsia="Times New Roman" w:cs="Arial"/>
                <w:b/>
                <w:bCs/>
              </w:rPr>
              <w:t>2. T</w:t>
            </w:r>
            <w:r w:rsidRPr="00B25CAE">
              <w:rPr>
                <w:rFonts w:eastAsia="Times New Roman" w:cs="Arial"/>
                <w:b/>
                <w:bCs/>
              </w:rPr>
              <w:t xml:space="preserve">eam </w:t>
            </w:r>
            <w:r>
              <w:rPr>
                <w:rFonts w:eastAsia="Times New Roman" w:cs="Arial"/>
                <w:b/>
                <w:bCs/>
              </w:rPr>
              <w:t>c</w:t>
            </w:r>
            <w:r w:rsidRPr="00B25CAE">
              <w:rPr>
                <w:rFonts w:eastAsia="Times New Roman" w:cs="Arial"/>
                <w:b/>
                <w:bCs/>
              </w:rPr>
              <w:t xml:space="preserve">apacity </w:t>
            </w:r>
            <w:r>
              <w:rPr>
                <w:rFonts w:eastAsia="Times New Roman" w:cs="Arial"/>
                <w:b/>
                <w:bCs/>
              </w:rPr>
              <w:t>and s</w:t>
            </w:r>
            <w:r w:rsidRPr="00B25CAE">
              <w:rPr>
                <w:rFonts w:eastAsia="Times New Roman" w:cs="Arial"/>
                <w:b/>
                <w:bCs/>
              </w:rPr>
              <w:t xml:space="preserve">pecialist </w:t>
            </w:r>
            <w:r>
              <w:rPr>
                <w:rFonts w:eastAsia="Times New Roman" w:cs="Arial"/>
                <w:b/>
                <w:bCs/>
              </w:rPr>
              <w:t>e</w:t>
            </w:r>
            <w:r w:rsidRPr="00B25CAE">
              <w:rPr>
                <w:rFonts w:eastAsia="Times New Roman" w:cs="Arial"/>
                <w:b/>
                <w:bCs/>
              </w:rPr>
              <w:t>xpertise</w:t>
            </w:r>
            <w:r w:rsidR="00AD0893">
              <w:rPr>
                <w:rFonts w:eastAsia="Times New Roman" w:cs="Arial"/>
                <w:b/>
                <w:bCs/>
              </w:rPr>
              <w:t xml:space="preserve">. </w:t>
            </w:r>
            <w:r w:rsidR="00AD0893" w:rsidRPr="00AD0893">
              <w:rPr>
                <w:rFonts w:eastAsia="Times New Roman" w:cs="Arial"/>
              </w:rPr>
              <w:t>Please p</w:t>
            </w:r>
            <w:r w:rsidRPr="00AD0893">
              <w:rPr>
                <w:rFonts w:eastAsia="Times New Roman" w:cs="Arial"/>
              </w:rPr>
              <w:t>rovide details of your organisational capacity and key personnel relevant to this framework</w:t>
            </w:r>
            <w:r w:rsidR="009A5E49">
              <w:rPr>
                <w:rFonts w:eastAsia="Times New Roman" w:cs="Arial"/>
              </w:rPr>
              <w:t xml:space="preserve"> and the Service Specification</w:t>
            </w:r>
            <w:r w:rsidRPr="00AD0893">
              <w:rPr>
                <w:rFonts w:eastAsia="Times New Roman" w:cs="Arial"/>
              </w:rPr>
              <w:t>.</w:t>
            </w:r>
            <w:r w:rsidR="00AD0893">
              <w:rPr>
                <w:rFonts w:eastAsia="Times New Roman" w:cs="Arial"/>
              </w:rPr>
              <w:t xml:space="preserve"> </w:t>
            </w:r>
            <w:r w:rsidRPr="00AD0893">
              <w:rPr>
                <w:rFonts w:eastAsia="Times New Roman" w:cs="Arial"/>
              </w:rPr>
              <w:t xml:space="preserve">Outline the </w:t>
            </w:r>
            <w:r w:rsidR="00A74AFD">
              <w:rPr>
                <w:rFonts w:eastAsia="Times New Roman" w:cs="Arial"/>
              </w:rPr>
              <w:t xml:space="preserve">typical </w:t>
            </w:r>
            <w:r w:rsidRPr="00AD0893">
              <w:rPr>
                <w:rFonts w:eastAsia="Times New Roman" w:cs="Arial"/>
              </w:rPr>
              <w:t>size and composition of your research and evaluation team (roles, FTEs).</w:t>
            </w:r>
            <w:r w:rsidR="00AD0893">
              <w:rPr>
                <w:rFonts w:eastAsia="Times New Roman" w:cs="Arial"/>
              </w:rPr>
              <w:t xml:space="preserve"> </w:t>
            </w:r>
            <w:r w:rsidRPr="00AD0893">
              <w:rPr>
                <w:rFonts w:eastAsia="Times New Roman" w:cs="Arial"/>
              </w:rPr>
              <w:t>Provide short profiles of the core team who would lead and deliver work under this framework, highlighting experience with research and evaluation in the armed forces community or similar contexts.</w:t>
            </w:r>
            <w:r w:rsidR="00460C5A">
              <w:rPr>
                <w:rFonts w:eastAsia="Times New Roman" w:cs="Arial"/>
              </w:rPr>
              <w:t xml:space="preserve"> </w:t>
            </w:r>
            <w:r w:rsidRPr="00AD0893">
              <w:rPr>
                <w:rFonts w:eastAsia="Times New Roman" w:cs="Arial"/>
              </w:rPr>
              <w:t xml:space="preserve">Explain how you will ensure continuity of personnel and manage peaks in demand across multiple </w:t>
            </w:r>
            <w:r w:rsidR="00626686">
              <w:rPr>
                <w:rFonts w:eastAsia="Times New Roman" w:cs="Arial"/>
              </w:rPr>
              <w:t>Call-Off</w:t>
            </w:r>
            <w:r w:rsidRPr="00AD0893">
              <w:rPr>
                <w:rFonts w:eastAsia="Times New Roman" w:cs="Arial"/>
              </w:rPr>
              <w:t>s.</w:t>
            </w:r>
          </w:p>
          <w:p w14:paraId="75590256" w14:textId="4065CB3C" w:rsidR="00460C5A" w:rsidRPr="00460C5A" w:rsidRDefault="00460C5A" w:rsidP="00460C5A">
            <w:pPr>
              <w:adjustRightInd/>
              <w:ind w:left="120" w:right="117" w:firstLine="15"/>
              <w:textAlignment w:val="baseline"/>
              <w:rPr>
                <w:rFonts w:eastAsia="Times New Roman" w:cs="Arial"/>
              </w:rPr>
            </w:pPr>
          </w:p>
        </w:tc>
        <w:tc>
          <w:tcPr>
            <w:tcW w:w="1275" w:type="dxa"/>
            <w:tcBorders>
              <w:top w:val="single" w:sz="6" w:space="0" w:color="auto"/>
              <w:left w:val="single" w:sz="6" w:space="0" w:color="auto"/>
              <w:bottom w:val="single" w:sz="6" w:space="0" w:color="auto"/>
              <w:right w:val="single" w:sz="6" w:space="0" w:color="auto"/>
            </w:tcBorders>
          </w:tcPr>
          <w:p w14:paraId="72BB8D8F" w14:textId="5B79C13D" w:rsidR="00A42D39" w:rsidRPr="00EB76A9" w:rsidRDefault="00DE7376" w:rsidP="002E4456">
            <w:pPr>
              <w:adjustRightInd/>
              <w:ind w:left="153"/>
              <w:textAlignment w:val="baseline"/>
              <w:rPr>
                <w:rFonts w:eastAsia="Times New Roman" w:cs="Arial"/>
              </w:rPr>
            </w:pPr>
            <w:r>
              <w:rPr>
                <w:rFonts w:eastAsia="Times New Roman" w:cs="Arial"/>
              </w:rPr>
              <w:t>30%</w:t>
            </w:r>
          </w:p>
        </w:tc>
      </w:tr>
      <w:tr w:rsidR="001C436E" w:rsidRPr="00EB76A9" w14:paraId="4CF08AD4" w14:textId="77777777" w:rsidTr="0013095B">
        <w:trPr>
          <w:trHeight w:val="300"/>
        </w:trPr>
        <w:tc>
          <w:tcPr>
            <w:tcW w:w="1268" w:type="dxa"/>
            <w:vMerge/>
            <w:tcBorders>
              <w:left w:val="single" w:sz="6" w:space="0" w:color="auto"/>
              <w:right w:val="single" w:sz="6" w:space="0" w:color="auto"/>
            </w:tcBorders>
            <w:vAlign w:val="center"/>
            <w:hideMark/>
          </w:tcPr>
          <w:p w14:paraId="0072921D" w14:textId="77777777" w:rsidR="001C436E" w:rsidRPr="00EB76A9" w:rsidRDefault="001C436E" w:rsidP="00EB76A9">
            <w:pPr>
              <w:adjustRightInd/>
              <w:rPr>
                <w:rFonts w:ascii="Segoe UI" w:eastAsia="Times New Roman" w:hAnsi="Segoe UI" w:cs="Segoe UI"/>
                <w:sz w:val="18"/>
                <w:szCs w:val="18"/>
              </w:rPr>
            </w:pPr>
          </w:p>
        </w:tc>
        <w:tc>
          <w:tcPr>
            <w:tcW w:w="5954" w:type="dxa"/>
            <w:tcBorders>
              <w:top w:val="single" w:sz="6" w:space="0" w:color="auto"/>
              <w:left w:val="nil"/>
              <w:bottom w:val="single" w:sz="6" w:space="0" w:color="auto"/>
              <w:right w:val="single" w:sz="6" w:space="0" w:color="auto"/>
            </w:tcBorders>
            <w:hideMark/>
          </w:tcPr>
          <w:p w14:paraId="72E4AA10" w14:textId="4E1D84B4" w:rsidR="001C436E" w:rsidRPr="001F3390" w:rsidRDefault="0017697E" w:rsidP="00220403">
            <w:pPr>
              <w:adjustRightInd/>
              <w:ind w:left="120" w:right="117"/>
              <w:textAlignment w:val="baseline"/>
              <w:rPr>
                <w:rFonts w:eastAsia="Times New Roman" w:cs="Arial"/>
              </w:rPr>
            </w:pPr>
            <w:r>
              <w:rPr>
                <w:rFonts w:eastAsia="Times New Roman" w:cs="Arial"/>
                <w:b/>
                <w:bCs/>
              </w:rPr>
              <w:t>3</w:t>
            </w:r>
            <w:r w:rsidR="001C436E" w:rsidRPr="001C4242">
              <w:rPr>
                <w:rFonts w:eastAsia="Times New Roman" w:cs="Arial"/>
                <w:b/>
                <w:bCs/>
              </w:rPr>
              <w:t>.</w:t>
            </w:r>
            <w:r w:rsidR="001C436E">
              <w:rPr>
                <w:rFonts w:eastAsia="Times New Roman" w:cs="Arial"/>
              </w:rPr>
              <w:t xml:space="preserve"> </w:t>
            </w:r>
            <w:r w:rsidR="001C436E" w:rsidRPr="009A6BA6">
              <w:rPr>
                <w:rFonts w:eastAsia="Times New Roman" w:cs="Arial"/>
                <w:b/>
                <w:bCs/>
              </w:rPr>
              <w:t>Methodological approach</w:t>
            </w:r>
            <w:r w:rsidR="001C436E">
              <w:rPr>
                <w:rFonts w:eastAsia="Times New Roman" w:cs="Arial"/>
              </w:rPr>
              <w:t xml:space="preserve">. </w:t>
            </w:r>
            <w:r w:rsidR="001C436E" w:rsidRPr="001F3390">
              <w:rPr>
                <w:rFonts w:eastAsia="Times New Roman" w:cs="Arial"/>
              </w:rPr>
              <w:t>Describe your organisation’s standard approaches to</w:t>
            </w:r>
            <w:r w:rsidR="001C436E">
              <w:rPr>
                <w:rFonts w:eastAsia="Times New Roman" w:cs="Arial"/>
              </w:rPr>
              <w:t xml:space="preserve"> </w:t>
            </w:r>
            <w:r w:rsidR="001C436E" w:rsidRPr="001F3390">
              <w:rPr>
                <w:rFonts w:eastAsia="Times New Roman" w:cs="Arial"/>
              </w:rPr>
              <w:t xml:space="preserve">designing impact </w:t>
            </w:r>
            <w:r w:rsidR="001C436E">
              <w:rPr>
                <w:rFonts w:eastAsia="Times New Roman" w:cs="Arial"/>
              </w:rPr>
              <w:t xml:space="preserve">and economic </w:t>
            </w:r>
            <w:r w:rsidR="001C436E" w:rsidRPr="001F3390">
              <w:rPr>
                <w:rFonts w:eastAsia="Times New Roman" w:cs="Arial"/>
              </w:rPr>
              <w:t>evaluations of grant-funded programmes</w:t>
            </w:r>
            <w:r w:rsidR="001C436E">
              <w:rPr>
                <w:rFonts w:eastAsia="Times New Roman" w:cs="Arial"/>
              </w:rPr>
              <w:t xml:space="preserve">, </w:t>
            </w:r>
            <w:r w:rsidR="001C436E" w:rsidRPr="001F3390">
              <w:rPr>
                <w:rFonts w:eastAsia="Times New Roman" w:cs="Arial"/>
              </w:rPr>
              <w:t xml:space="preserve">conducting evidence reviews and </w:t>
            </w:r>
            <w:r w:rsidR="001C436E">
              <w:rPr>
                <w:rFonts w:eastAsia="Times New Roman" w:cs="Arial"/>
              </w:rPr>
              <w:t>mapping the needs of specific communities</w:t>
            </w:r>
            <w:r w:rsidR="008479B1">
              <w:rPr>
                <w:rFonts w:eastAsia="Times New Roman" w:cs="Arial"/>
              </w:rPr>
              <w:t>, as outlined in the Service Specification</w:t>
            </w:r>
            <w:r w:rsidR="001C436E" w:rsidRPr="001F3390">
              <w:rPr>
                <w:rFonts w:eastAsia="Times New Roman" w:cs="Arial"/>
              </w:rPr>
              <w:t>.</w:t>
            </w:r>
            <w:r w:rsidR="001C436E">
              <w:rPr>
                <w:rFonts w:eastAsia="Times New Roman" w:cs="Arial"/>
              </w:rPr>
              <w:t xml:space="preserve"> </w:t>
            </w:r>
            <w:r w:rsidR="001C436E" w:rsidRPr="001F3390">
              <w:rPr>
                <w:rFonts w:eastAsia="Times New Roman" w:cs="Arial"/>
              </w:rPr>
              <w:t>Explain how you select and justify methods (qualitative, quantitative and mixed methods), ensure data quality, and manage bias and limitations.</w:t>
            </w:r>
          </w:p>
          <w:p w14:paraId="535E1E70" w14:textId="77777777" w:rsidR="001C436E" w:rsidRPr="00EB76A9" w:rsidRDefault="001C436E" w:rsidP="00EB76A9">
            <w:pPr>
              <w:adjustRightInd/>
              <w:ind w:left="375"/>
              <w:textAlignment w:val="baseline"/>
              <w:rPr>
                <w:rFonts w:ascii="Segoe UI" w:eastAsia="Times New Roman" w:hAnsi="Segoe UI" w:cs="Segoe UI"/>
                <w:sz w:val="18"/>
                <w:szCs w:val="18"/>
              </w:rPr>
            </w:pPr>
            <w:r w:rsidRPr="00EB76A9">
              <w:rPr>
                <w:rFonts w:eastAsia="Times New Roman" w:cs="Arial"/>
              </w:rPr>
              <w:t> </w:t>
            </w:r>
          </w:p>
        </w:tc>
        <w:tc>
          <w:tcPr>
            <w:tcW w:w="1275" w:type="dxa"/>
            <w:tcBorders>
              <w:top w:val="single" w:sz="6" w:space="0" w:color="auto"/>
              <w:left w:val="single" w:sz="6" w:space="0" w:color="auto"/>
              <w:bottom w:val="single" w:sz="6" w:space="0" w:color="auto"/>
              <w:right w:val="single" w:sz="6" w:space="0" w:color="auto"/>
            </w:tcBorders>
            <w:hideMark/>
          </w:tcPr>
          <w:p w14:paraId="5CC29317" w14:textId="45A0C9F8" w:rsidR="001C436E" w:rsidRPr="00EB76A9" w:rsidRDefault="0017697E" w:rsidP="002E4456">
            <w:pPr>
              <w:adjustRightInd/>
              <w:ind w:left="153"/>
              <w:textAlignment w:val="baseline"/>
              <w:rPr>
                <w:rFonts w:ascii="Segoe UI" w:eastAsia="Times New Roman" w:hAnsi="Segoe UI" w:cs="Segoe UI"/>
                <w:sz w:val="18"/>
                <w:szCs w:val="18"/>
              </w:rPr>
            </w:pPr>
            <w:r>
              <w:rPr>
                <w:rFonts w:eastAsia="Times New Roman" w:cs="Arial"/>
              </w:rPr>
              <w:t>1</w:t>
            </w:r>
            <w:r w:rsidR="000D5166">
              <w:rPr>
                <w:rFonts w:eastAsia="Times New Roman" w:cs="Arial"/>
              </w:rPr>
              <w:t>0</w:t>
            </w:r>
            <w:r w:rsidR="001C436E" w:rsidRPr="00EB76A9">
              <w:rPr>
                <w:rFonts w:eastAsia="Times New Roman" w:cs="Arial"/>
              </w:rPr>
              <w:t>% </w:t>
            </w:r>
          </w:p>
        </w:tc>
      </w:tr>
      <w:tr w:rsidR="001C436E" w:rsidRPr="00EB76A9" w14:paraId="38757513" w14:textId="77777777" w:rsidTr="0013095B">
        <w:trPr>
          <w:trHeight w:val="300"/>
        </w:trPr>
        <w:tc>
          <w:tcPr>
            <w:tcW w:w="1268" w:type="dxa"/>
            <w:vMerge/>
            <w:tcBorders>
              <w:left w:val="single" w:sz="6" w:space="0" w:color="auto"/>
              <w:right w:val="single" w:sz="6" w:space="0" w:color="auto"/>
            </w:tcBorders>
            <w:vAlign w:val="center"/>
            <w:hideMark/>
          </w:tcPr>
          <w:p w14:paraId="430AB4F1" w14:textId="77777777" w:rsidR="001C436E" w:rsidRPr="00EB76A9" w:rsidRDefault="001C436E" w:rsidP="00EB76A9">
            <w:pPr>
              <w:adjustRightInd/>
              <w:rPr>
                <w:rFonts w:ascii="Segoe UI" w:eastAsia="Times New Roman" w:hAnsi="Segoe UI" w:cs="Segoe UI"/>
                <w:sz w:val="18"/>
                <w:szCs w:val="18"/>
              </w:rPr>
            </w:pPr>
          </w:p>
        </w:tc>
        <w:tc>
          <w:tcPr>
            <w:tcW w:w="5954" w:type="dxa"/>
            <w:tcBorders>
              <w:top w:val="single" w:sz="6" w:space="0" w:color="auto"/>
              <w:left w:val="nil"/>
              <w:bottom w:val="single" w:sz="6" w:space="0" w:color="auto"/>
              <w:right w:val="single" w:sz="6" w:space="0" w:color="auto"/>
            </w:tcBorders>
            <w:hideMark/>
          </w:tcPr>
          <w:p w14:paraId="0CCC57CC" w14:textId="68E444A7" w:rsidR="001C436E" w:rsidRPr="00EB76A9" w:rsidRDefault="0017697E" w:rsidP="009A6BA6">
            <w:pPr>
              <w:adjustRightInd/>
              <w:ind w:left="120" w:right="117"/>
              <w:textAlignment w:val="baseline"/>
              <w:rPr>
                <w:rFonts w:eastAsia="Times New Roman" w:cs="Arial"/>
              </w:rPr>
            </w:pPr>
            <w:r>
              <w:rPr>
                <w:rFonts w:eastAsia="Times New Roman" w:cs="Arial"/>
                <w:b/>
                <w:bCs/>
              </w:rPr>
              <w:t>4</w:t>
            </w:r>
            <w:r w:rsidR="001C436E" w:rsidRPr="001C4242">
              <w:rPr>
                <w:rFonts w:eastAsia="Times New Roman" w:cs="Arial"/>
                <w:b/>
                <w:bCs/>
              </w:rPr>
              <w:t>. Quality assurance</w:t>
            </w:r>
            <w:r w:rsidR="001C436E">
              <w:rPr>
                <w:rFonts w:eastAsia="Times New Roman" w:cs="Arial"/>
              </w:rPr>
              <w:t xml:space="preserve">. </w:t>
            </w:r>
            <w:r w:rsidR="001C436E" w:rsidRPr="001F3390">
              <w:rPr>
                <w:rFonts w:eastAsia="Times New Roman" w:cs="Arial"/>
              </w:rPr>
              <w:t>Provide an overview of your internal quality assurance processes for research and evaluation outputs (e.g. peer review, sign-off).</w:t>
            </w:r>
          </w:p>
          <w:p w14:paraId="1650E336" w14:textId="77777777" w:rsidR="001C436E" w:rsidRPr="00EB76A9" w:rsidRDefault="001C436E" w:rsidP="00EB76A9">
            <w:pPr>
              <w:adjustRightInd/>
              <w:ind w:left="375"/>
              <w:jc w:val="both"/>
              <w:textAlignment w:val="baseline"/>
              <w:rPr>
                <w:rFonts w:ascii="Segoe UI" w:eastAsia="Times New Roman" w:hAnsi="Segoe UI" w:cs="Segoe UI"/>
                <w:sz w:val="18"/>
                <w:szCs w:val="18"/>
              </w:rPr>
            </w:pPr>
            <w:r w:rsidRPr="00EB76A9">
              <w:rPr>
                <w:rFonts w:eastAsia="Times New Roman" w:cs="Arial"/>
              </w:rPr>
              <w:t> </w:t>
            </w:r>
          </w:p>
        </w:tc>
        <w:tc>
          <w:tcPr>
            <w:tcW w:w="1275" w:type="dxa"/>
            <w:tcBorders>
              <w:top w:val="single" w:sz="6" w:space="0" w:color="auto"/>
              <w:left w:val="single" w:sz="6" w:space="0" w:color="auto"/>
              <w:bottom w:val="single" w:sz="6" w:space="0" w:color="auto"/>
              <w:right w:val="single" w:sz="6" w:space="0" w:color="auto"/>
            </w:tcBorders>
            <w:hideMark/>
          </w:tcPr>
          <w:p w14:paraId="382947A3" w14:textId="3D62822A" w:rsidR="001C436E" w:rsidRPr="00EB76A9" w:rsidRDefault="00AC0AE2" w:rsidP="001C4242">
            <w:pPr>
              <w:adjustRightInd/>
              <w:ind w:left="139"/>
              <w:textAlignment w:val="baseline"/>
              <w:rPr>
                <w:rFonts w:ascii="Segoe UI" w:eastAsia="Times New Roman" w:hAnsi="Segoe UI" w:cs="Segoe UI"/>
                <w:sz w:val="18"/>
                <w:szCs w:val="18"/>
              </w:rPr>
            </w:pPr>
            <w:r>
              <w:rPr>
                <w:rFonts w:eastAsia="Times New Roman" w:cs="Arial"/>
              </w:rPr>
              <w:t>1</w:t>
            </w:r>
            <w:r w:rsidR="000D5166">
              <w:rPr>
                <w:rFonts w:eastAsia="Times New Roman" w:cs="Arial"/>
              </w:rPr>
              <w:t>0</w:t>
            </w:r>
            <w:r w:rsidR="001C436E" w:rsidRPr="00EB76A9">
              <w:rPr>
                <w:rFonts w:eastAsia="Times New Roman" w:cs="Arial"/>
              </w:rPr>
              <w:t>% </w:t>
            </w:r>
          </w:p>
        </w:tc>
      </w:tr>
      <w:tr w:rsidR="001C436E" w:rsidRPr="00EB76A9" w14:paraId="573C2C24" w14:textId="77777777" w:rsidTr="0013095B">
        <w:trPr>
          <w:trHeight w:val="300"/>
        </w:trPr>
        <w:tc>
          <w:tcPr>
            <w:tcW w:w="1268" w:type="dxa"/>
            <w:vMerge/>
            <w:tcBorders>
              <w:left w:val="single" w:sz="6" w:space="0" w:color="auto"/>
              <w:right w:val="single" w:sz="6" w:space="0" w:color="auto"/>
            </w:tcBorders>
            <w:vAlign w:val="center"/>
          </w:tcPr>
          <w:p w14:paraId="0D04E09D" w14:textId="77777777" w:rsidR="001C436E" w:rsidRPr="00EB76A9" w:rsidRDefault="001C436E" w:rsidP="00EB76A9">
            <w:pPr>
              <w:adjustRightInd/>
              <w:rPr>
                <w:rFonts w:ascii="Segoe UI" w:eastAsia="Times New Roman" w:hAnsi="Segoe UI" w:cs="Segoe UI"/>
                <w:sz w:val="18"/>
                <w:szCs w:val="18"/>
              </w:rPr>
            </w:pPr>
          </w:p>
        </w:tc>
        <w:tc>
          <w:tcPr>
            <w:tcW w:w="5954" w:type="dxa"/>
            <w:tcBorders>
              <w:top w:val="single" w:sz="6" w:space="0" w:color="auto"/>
              <w:left w:val="nil"/>
              <w:bottom w:val="single" w:sz="6" w:space="0" w:color="auto"/>
              <w:right w:val="single" w:sz="6" w:space="0" w:color="auto"/>
            </w:tcBorders>
          </w:tcPr>
          <w:p w14:paraId="79F96379" w14:textId="2CD1FEFA" w:rsidR="001C436E" w:rsidRDefault="00AC0AE2" w:rsidP="003F28CF">
            <w:pPr>
              <w:adjustRightInd/>
              <w:ind w:left="120" w:right="117"/>
              <w:textAlignment w:val="baseline"/>
              <w:rPr>
                <w:rFonts w:eastAsia="Times New Roman" w:cs="Arial"/>
              </w:rPr>
            </w:pPr>
            <w:r>
              <w:rPr>
                <w:rFonts w:eastAsia="Times New Roman" w:cs="Arial"/>
                <w:b/>
                <w:bCs/>
              </w:rPr>
              <w:t>5</w:t>
            </w:r>
            <w:r w:rsidR="001C436E">
              <w:rPr>
                <w:rFonts w:eastAsia="Times New Roman" w:cs="Arial"/>
                <w:b/>
                <w:bCs/>
              </w:rPr>
              <w:t xml:space="preserve">. </w:t>
            </w:r>
            <w:r w:rsidR="001C436E" w:rsidRPr="00183782">
              <w:rPr>
                <w:rFonts w:eastAsia="Times New Roman" w:cs="Arial"/>
                <w:b/>
                <w:bCs/>
              </w:rPr>
              <w:t xml:space="preserve">Engagement, </w:t>
            </w:r>
            <w:r w:rsidR="001C436E">
              <w:rPr>
                <w:rFonts w:eastAsia="Times New Roman" w:cs="Arial"/>
                <w:b/>
                <w:bCs/>
              </w:rPr>
              <w:t>e</w:t>
            </w:r>
            <w:r w:rsidR="001C436E" w:rsidRPr="00183782">
              <w:rPr>
                <w:rFonts w:eastAsia="Times New Roman" w:cs="Arial"/>
                <w:b/>
                <w:bCs/>
              </w:rPr>
              <w:t xml:space="preserve">thics </w:t>
            </w:r>
            <w:r w:rsidR="001C436E">
              <w:rPr>
                <w:rFonts w:eastAsia="Times New Roman" w:cs="Arial"/>
                <w:b/>
                <w:bCs/>
              </w:rPr>
              <w:t>and s</w:t>
            </w:r>
            <w:r w:rsidR="001C436E" w:rsidRPr="00183782">
              <w:rPr>
                <w:rFonts w:eastAsia="Times New Roman" w:cs="Arial"/>
                <w:b/>
                <w:bCs/>
              </w:rPr>
              <w:t>afeguarding</w:t>
            </w:r>
            <w:r w:rsidR="001C436E">
              <w:rPr>
                <w:rFonts w:eastAsia="Times New Roman" w:cs="Arial"/>
                <w:b/>
                <w:bCs/>
              </w:rPr>
              <w:t xml:space="preserve">. </w:t>
            </w:r>
            <w:r w:rsidR="001C436E" w:rsidRPr="00183782">
              <w:rPr>
                <w:rFonts w:eastAsia="Times New Roman" w:cs="Arial"/>
              </w:rPr>
              <w:t>Describe your approach to engaging with members of the armed forces community in research and evaluation activities, including veterans, serving personnel, families and other groups who may be vulnerable or have experienced trauma.</w:t>
            </w:r>
            <w:r w:rsidR="001C436E">
              <w:rPr>
                <w:rFonts w:eastAsia="Times New Roman" w:cs="Arial"/>
              </w:rPr>
              <w:t xml:space="preserve"> </w:t>
            </w:r>
            <w:r w:rsidR="001C436E" w:rsidRPr="00183782">
              <w:rPr>
                <w:rFonts w:eastAsia="Times New Roman" w:cs="Arial"/>
              </w:rPr>
              <w:t xml:space="preserve">Explain your arrangements for research ethics, informed consent, confidentiality, data protection, and safeguarding, including how you </w:t>
            </w:r>
            <w:r w:rsidR="001C436E">
              <w:rPr>
                <w:rFonts w:eastAsia="Times New Roman" w:cs="Arial"/>
              </w:rPr>
              <w:t xml:space="preserve">would </w:t>
            </w:r>
            <w:r w:rsidR="001C436E" w:rsidRPr="00183782">
              <w:rPr>
                <w:rFonts w:eastAsia="Times New Roman" w:cs="Arial"/>
              </w:rPr>
              <w:t>manage distress or risk during fieldwork.</w:t>
            </w:r>
            <w:r w:rsidR="003F28CF">
              <w:rPr>
                <w:rFonts w:eastAsia="Times New Roman" w:cs="Arial"/>
              </w:rPr>
              <w:t xml:space="preserve"> </w:t>
            </w:r>
            <w:r w:rsidR="001C436E" w:rsidRPr="003F28CF">
              <w:rPr>
                <w:rFonts w:eastAsia="Times New Roman" w:cs="Arial"/>
              </w:rPr>
              <w:t>Provide examples of how you have adapted methods to be inclusive and safe for participants.</w:t>
            </w:r>
          </w:p>
          <w:p w14:paraId="0F298FA6" w14:textId="1F4F00F7" w:rsidR="00251855" w:rsidRPr="003F28CF" w:rsidRDefault="00251855" w:rsidP="003F28CF">
            <w:pPr>
              <w:adjustRightInd/>
              <w:ind w:left="120" w:right="117"/>
              <w:textAlignment w:val="baseline"/>
              <w:rPr>
                <w:rFonts w:eastAsia="Times New Roman" w:cs="Arial"/>
              </w:rPr>
            </w:pPr>
          </w:p>
        </w:tc>
        <w:tc>
          <w:tcPr>
            <w:tcW w:w="1275" w:type="dxa"/>
            <w:tcBorders>
              <w:top w:val="single" w:sz="6" w:space="0" w:color="auto"/>
              <w:left w:val="single" w:sz="6" w:space="0" w:color="auto"/>
              <w:bottom w:val="single" w:sz="6" w:space="0" w:color="auto"/>
              <w:right w:val="single" w:sz="6" w:space="0" w:color="auto"/>
            </w:tcBorders>
          </w:tcPr>
          <w:p w14:paraId="48789804" w14:textId="3B9ACE4B" w:rsidR="001C436E" w:rsidRPr="00EB76A9" w:rsidRDefault="000D5166" w:rsidP="001C4242">
            <w:pPr>
              <w:adjustRightInd/>
              <w:ind w:left="139"/>
              <w:textAlignment w:val="baseline"/>
              <w:rPr>
                <w:rFonts w:eastAsia="Times New Roman" w:cs="Arial"/>
              </w:rPr>
            </w:pPr>
            <w:r>
              <w:rPr>
                <w:rFonts w:eastAsia="Times New Roman" w:cs="Arial"/>
              </w:rPr>
              <w:t>10%</w:t>
            </w:r>
          </w:p>
        </w:tc>
      </w:tr>
      <w:tr w:rsidR="001C436E" w:rsidRPr="00EB76A9" w14:paraId="3812F593" w14:textId="77777777" w:rsidTr="0013095B">
        <w:trPr>
          <w:trHeight w:val="300"/>
        </w:trPr>
        <w:tc>
          <w:tcPr>
            <w:tcW w:w="1268" w:type="dxa"/>
            <w:tcBorders>
              <w:top w:val="nil"/>
              <w:left w:val="single" w:sz="6" w:space="0" w:color="auto"/>
              <w:bottom w:val="single" w:sz="6" w:space="0" w:color="auto"/>
              <w:right w:val="single" w:sz="6" w:space="0" w:color="auto"/>
            </w:tcBorders>
            <w:hideMark/>
          </w:tcPr>
          <w:p w14:paraId="0D192D9A" w14:textId="77777777" w:rsidR="001C436E" w:rsidRPr="00EB76A9" w:rsidRDefault="001C436E" w:rsidP="00256EAD">
            <w:pPr>
              <w:adjustRightInd/>
              <w:ind w:left="127"/>
              <w:textAlignment w:val="baseline"/>
              <w:rPr>
                <w:rFonts w:ascii="Segoe UI" w:eastAsia="Times New Roman" w:hAnsi="Segoe UI" w:cs="Segoe UI"/>
                <w:sz w:val="18"/>
                <w:szCs w:val="18"/>
              </w:rPr>
            </w:pPr>
            <w:r w:rsidRPr="00EB76A9">
              <w:rPr>
                <w:rFonts w:eastAsia="Times New Roman" w:cs="Arial"/>
                <w:b/>
                <w:bCs/>
              </w:rPr>
              <w:t>Technical total</w:t>
            </w:r>
            <w:r w:rsidRPr="00EB76A9">
              <w:rPr>
                <w:rFonts w:eastAsia="Times New Roman" w:cs="Arial"/>
              </w:rPr>
              <w:t> </w:t>
            </w:r>
          </w:p>
        </w:tc>
        <w:tc>
          <w:tcPr>
            <w:tcW w:w="5954" w:type="dxa"/>
            <w:tcBorders>
              <w:top w:val="single" w:sz="6" w:space="0" w:color="auto"/>
              <w:left w:val="single" w:sz="6" w:space="0" w:color="auto"/>
              <w:bottom w:val="single" w:sz="6" w:space="0" w:color="auto"/>
              <w:right w:val="single" w:sz="6" w:space="0" w:color="auto"/>
            </w:tcBorders>
            <w:hideMark/>
          </w:tcPr>
          <w:p w14:paraId="19F71C4D" w14:textId="77777777" w:rsidR="001C436E" w:rsidRPr="00EB76A9" w:rsidRDefault="001C436E" w:rsidP="00EB76A9">
            <w:pPr>
              <w:adjustRightInd/>
              <w:textAlignment w:val="baseline"/>
              <w:rPr>
                <w:rFonts w:ascii="Segoe UI" w:eastAsia="Times New Roman" w:hAnsi="Segoe UI" w:cs="Segoe UI"/>
                <w:sz w:val="18"/>
                <w:szCs w:val="18"/>
              </w:rPr>
            </w:pPr>
            <w:r w:rsidRPr="00EB76A9">
              <w:rPr>
                <w:rFonts w:eastAsia="Times New Roman" w:cs="Arial"/>
              </w:rPr>
              <w:t>  </w:t>
            </w:r>
          </w:p>
        </w:tc>
        <w:tc>
          <w:tcPr>
            <w:tcW w:w="1275" w:type="dxa"/>
            <w:tcBorders>
              <w:top w:val="single" w:sz="6" w:space="0" w:color="auto"/>
              <w:left w:val="single" w:sz="6" w:space="0" w:color="auto"/>
              <w:bottom w:val="single" w:sz="6" w:space="0" w:color="auto"/>
              <w:right w:val="single" w:sz="6" w:space="0" w:color="auto"/>
            </w:tcBorders>
            <w:hideMark/>
          </w:tcPr>
          <w:p w14:paraId="38058805" w14:textId="77777777" w:rsidR="001C436E" w:rsidRPr="00EB76A9" w:rsidRDefault="001C436E" w:rsidP="000D5166">
            <w:pPr>
              <w:adjustRightInd/>
              <w:ind w:left="141"/>
              <w:textAlignment w:val="baseline"/>
              <w:rPr>
                <w:rFonts w:ascii="Segoe UI" w:eastAsia="Times New Roman" w:hAnsi="Segoe UI" w:cs="Segoe UI"/>
                <w:sz w:val="18"/>
                <w:szCs w:val="18"/>
              </w:rPr>
            </w:pPr>
            <w:r w:rsidRPr="00EB76A9">
              <w:rPr>
                <w:rFonts w:eastAsia="Times New Roman" w:cs="Arial"/>
                <w:i/>
                <w:iCs/>
              </w:rPr>
              <w:t>90%</w:t>
            </w:r>
            <w:r w:rsidRPr="00EB76A9">
              <w:rPr>
                <w:rFonts w:eastAsia="Times New Roman" w:cs="Arial"/>
              </w:rPr>
              <w:t> </w:t>
            </w:r>
          </w:p>
        </w:tc>
      </w:tr>
      <w:tr w:rsidR="001C436E" w:rsidRPr="00EB76A9" w14:paraId="5435DAC9" w14:textId="77777777" w:rsidTr="0013095B">
        <w:trPr>
          <w:trHeight w:val="300"/>
        </w:trPr>
        <w:tc>
          <w:tcPr>
            <w:tcW w:w="1268" w:type="dxa"/>
            <w:tcBorders>
              <w:top w:val="single" w:sz="6" w:space="0" w:color="auto"/>
              <w:left w:val="single" w:sz="6" w:space="0" w:color="auto"/>
              <w:bottom w:val="single" w:sz="6" w:space="0" w:color="auto"/>
              <w:right w:val="single" w:sz="6" w:space="0" w:color="auto"/>
            </w:tcBorders>
            <w:hideMark/>
          </w:tcPr>
          <w:p w14:paraId="4A63E922" w14:textId="77777777" w:rsidR="001C436E" w:rsidRPr="00EB76A9" w:rsidRDefault="001C436E" w:rsidP="00256EAD">
            <w:pPr>
              <w:adjustRightInd/>
              <w:ind w:left="127"/>
              <w:textAlignment w:val="baseline"/>
              <w:rPr>
                <w:rFonts w:ascii="Segoe UI" w:eastAsia="Times New Roman" w:hAnsi="Segoe UI" w:cs="Segoe UI"/>
                <w:sz w:val="18"/>
                <w:szCs w:val="18"/>
              </w:rPr>
            </w:pPr>
            <w:r w:rsidRPr="00EB76A9">
              <w:rPr>
                <w:rFonts w:eastAsia="Times New Roman" w:cs="Arial"/>
                <w:b/>
                <w:bCs/>
              </w:rPr>
              <w:t>Legal</w:t>
            </w:r>
            <w:r w:rsidRPr="00EB76A9">
              <w:rPr>
                <w:rFonts w:eastAsia="Times New Roman" w:cs="Arial"/>
              </w:rPr>
              <w:t> </w:t>
            </w:r>
          </w:p>
        </w:tc>
        <w:tc>
          <w:tcPr>
            <w:tcW w:w="5954" w:type="dxa"/>
            <w:tcBorders>
              <w:top w:val="single" w:sz="6" w:space="0" w:color="auto"/>
              <w:left w:val="single" w:sz="6" w:space="0" w:color="auto"/>
              <w:bottom w:val="single" w:sz="6" w:space="0" w:color="auto"/>
              <w:right w:val="single" w:sz="6" w:space="0" w:color="auto"/>
            </w:tcBorders>
            <w:hideMark/>
          </w:tcPr>
          <w:p w14:paraId="75F3AA4B" w14:textId="77777777" w:rsidR="001C436E" w:rsidRPr="00EB76A9" w:rsidRDefault="001C436E" w:rsidP="000D5166">
            <w:pPr>
              <w:adjustRightInd/>
              <w:ind w:left="138"/>
              <w:textAlignment w:val="baseline"/>
              <w:rPr>
                <w:rFonts w:ascii="Segoe UI" w:eastAsia="Times New Roman" w:hAnsi="Segoe UI" w:cs="Segoe UI"/>
                <w:sz w:val="18"/>
                <w:szCs w:val="18"/>
              </w:rPr>
            </w:pPr>
            <w:r w:rsidRPr="00EB76A9">
              <w:rPr>
                <w:rFonts w:eastAsia="Times New Roman" w:cs="Arial"/>
              </w:rPr>
              <w:t>Bidder confirms that it will agree to the terms of the Contract without amendment. </w:t>
            </w:r>
          </w:p>
          <w:p w14:paraId="1FD9037F" w14:textId="77777777" w:rsidR="001C436E" w:rsidRPr="00EB76A9" w:rsidRDefault="001C436E" w:rsidP="000D5166">
            <w:pPr>
              <w:adjustRightInd/>
              <w:ind w:left="138"/>
              <w:textAlignment w:val="baseline"/>
              <w:rPr>
                <w:rFonts w:ascii="Segoe UI" w:eastAsia="Times New Roman" w:hAnsi="Segoe UI" w:cs="Segoe UI"/>
                <w:sz w:val="18"/>
                <w:szCs w:val="18"/>
              </w:rPr>
            </w:pPr>
            <w:r w:rsidRPr="00EB76A9">
              <w:rPr>
                <w:rFonts w:eastAsia="Times New Roman" w:cs="Arial"/>
              </w:rPr>
              <w:t>  </w:t>
            </w:r>
          </w:p>
        </w:tc>
        <w:tc>
          <w:tcPr>
            <w:tcW w:w="1275" w:type="dxa"/>
            <w:tcBorders>
              <w:top w:val="single" w:sz="6" w:space="0" w:color="auto"/>
              <w:left w:val="single" w:sz="6" w:space="0" w:color="auto"/>
              <w:bottom w:val="single" w:sz="6" w:space="0" w:color="auto"/>
              <w:right w:val="single" w:sz="6" w:space="0" w:color="auto"/>
            </w:tcBorders>
            <w:hideMark/>
          </w:tcPr>
          <w:p w14:paraId="6367E98A" w14:textId="77777777" w:rsidR="001C436E" w:rsidRPr="00EB76A9" w:rsidRDefault="001C436E" w:rsidP="00EB76A9">
            <w:pPr>
              <w:adjustRightInd/>
              <w:textAlignment w:val="baseline"/>
              <w:rPr>
                <w:rFonts w:ascii="Segoe UI" w:eastAsia="Times New Roman" w:hAnsi="Segoe UI" w:cs="Segoe UI"/>
                <w:sz w:val="18"/>
                <w:szCs w:val="18"/>
              </w:rPr>
            </w:pPr>
            <w:r w:rsidRPr="00EB76A9">
              <w:rPr>
                <w:rFonts w:eastAsia="Times New Roman" w:cs="Arial"/>
              </w:rPr>
              <w:t>  </w:t>
            </w:r>
          </w:p>
          <w:p w14:paraId="24773B23" w14:textId="77777777" w:rsidR="001C436E" w:rsidRPr="00EB76A9" w:rsidRDefault="001C436E" w:rsidP="000D5166">
            <w:pPr>
              <w:adjustRightInd/>
              <w:ind w:left="141"/>
              <w:textAlignment w:val="baseline"/>
              <w:rPr>
                <w:rFonts w:ascii="Segoe UI" w:eastAsia="Times New Roman" w:hAnsi="Segoe UI" w:cs="Segoe UI"/>
                <w:sz w:val="18"/>
                <w:szCs w:val="18"/>
              </w:rPr>
            </w:pPr>
            <w:r w:rsidRPr="00EB76A9">
              <w:rPr>
                <w:rFonts w:eastAsia="Times New Roman" w:cs="Arial"/>
              </w:rPr>
              <w:t>Pass/Fail </w:t>
            </w:r>
          </w:p>
        </w:tc>
      </w:tr>
      <w:tr w:rsidR="001C436E" w:rsidRPr="00EB76A9" w14:paraId="14F5CE21" w14:textId="77777777" w:rsidTr="0013095B">
        <w:trPr>
          <w:trHeight w:val="300"/>
        </w:trPr>
        <w:tc>
          <w:tcPr>
            <w:tcW w:w="1268" w:type="dxa"/>
            <w:tcBorders>
              <w:top w:val="single" w:sz="6" w:space="0" w:color="auto"/>
              <w:left w:val="single" w:sz="6" w:space="0" w:color="auto"/>
              <w:bottom w:val="single" w:sz="6" w:space="0" w:color="auto"/>
              <w:right w:val="single" w:sz="6" w:space="0" w:color="auto"/>
            </w:tcBorders>
            <w:hideMark/>
          </w:tcPr>
          <w:p w14:paraId="311735B9" w14:textId="77777777" w:rsidR="001C436E" w:rsidRPr="00712ADA" w:rsidRDefault="001C436E" w:rsidP="00EB76A9">
            <w:pPr>
              <w:adjustRightInd/>
              <w:ind w:left="127"/>
              <w:textAlignment w:val="baseline"/>
              <w:rPr>
                <w:rFonts w:ascii="Segoe UI" w:eastAsia="Times New Roman" w:hAnsi="Segoe UI" w:cs="Segoe UI"/>
                <w:sz w:val="18"/>
                <w:szCs w:val="18"/>
              </w:rPr>
            </w:pPr>
            <w:r w:rsidRPr="00712ADA">
              <w:rPr>
                <w:rFonts w:eastAsia="Times New Roman" w:cs="Arial"/>
                <w:b/>
              </w:rPr>
              <w:t>Commercial</w:t>
            </w:r>
            <w:r w:rsidRPr="00712ADA">
              <w:rPr>
                <w:rFonts w:eastAsia="Times New Roman" w:cs="Arial"/>
              </w:rPr>
              <w:t> </w:t>
            </w:r>
          </w:p>
        </w:tc>
        <w:tc>
          <w:tcPr>
            <w:tcW w:w="5954" w:type="dxa"/>
            <w:tcBorders>
              <w:top w:val="single" w:sz="6" w:space="0" w:color="auto"/>
              <w:left w:val="single" w:sz="6" w:space="0" w:color="auto"/>
              <w:bottom w:val="single" w:sz="6" w:space="0" w:color="auto"/>
              <w:right w:val="single" w:sz="6" w:space="0" w:color="auto"/>
            </w:tcBorders>
            <w:hideMark/>
          </w:tcPr>
          <w:p w14:paraId="6274D8D7" w14:textId="77777777" w:rsidR="001C436E" w:rsidRPr="00712ADA" w:rsidRDefault="001C436E" w:rsidP="00256EAD">
            <w:pPr>
              <w:adjustRightInd/>
              <w:ind w:left="143"/>
              <w:textAlignment w:val="baseline"/>
              <w:rPr>
                <w:rFonts w:ascii="Segoe UI" w:eastAsia="Times New Roman" w:hAnsi="Segoe UI" w:cs="Segoe UI"/>
                <w:sz w:val="18"/>
                <w:szCs w:val="18"/>
              </w:rPr>
            </w:pPr>
            <w:r w:rsidRPr="00712ADA">
              <w:rPr>
                <w:rFonts w:eastAsia="Times New Roman" w:cs="Arial"/>
              </w:rPr>
              <w:t>Commercial evaluation </w:t>
            </w:r>
          </w:p>
        </w:tc>
        <w:tc>
          <w:tcPr>
            <w:tcW w:w="1275" w:type="dxa"/>
            <w:tcBorders>
              <w:top w:val="single" w:sz="6" w:space="0" w:color="auto"/>
              <w:left w:val="single" w:sz="6" w:space="0" w:color="auto"/>
              <w:bottom w:val="single" w:sz="6" w:space="0" w:color="auto"/>
              <w:right w:val="single" w:sz="6" w:space="0" w:color="auto"/>
            </w:tcBorders>
            <w:hideMark/>
          </w:tcPr>
          <w:p w14:paraId="37AF99C1" w14:textId="77777777" w:rsidR="001C436E" w:rsidRPr="00712ADA" w:rsidRDefault="001C436E" w:rsidP="00256EAD">
            <w:pPr>
              <w:adjustRightInd/>
              <w:ind w:left="141"/>
              <w:textAlignment w:val="baseline"/>
              <w:rPr>
                <w:rFonts w:ascii="Segoe UI" w:eastAsia="Times New Roman" w:hAnsi="Segoe UI" w:cs="Segoe UI"/>
                <w:i/>
                <w:sz w:val="18"/>
                <w:szCs w:val="18"/>
              </w:rPr>
            </w:pPr>
            <w:r w:rsidRPr="00712ADA">
              <w:rPr>
                <w:rFonts w:eastAsia="Times New Roman" w:cs="Arial"/>
                <w:i/>
              </w:rPr>
              <w:t>10% </w:t>
            </w:r>
          </w:p>
          <w:p w14:paraId="66AA5F4C" w14:textId="16354C4C" w:rsidR="001C436E" w:rsidRPr="00712ADA" w:rsidRDefault="001C436E" w:rsidP="00EB76A9">
            <w:pPr>
              <w:adjustRightInd/>
              <w:textAlignment w:val="baseline"/>
              <w:rPr>
                <w:rFonts w:ascii="Segoe UI" w:eastAsia="Times New Roman" w:hAnsi="Segoe UI" w:cs="Segoe UI"/>
                <w:sz w:val="18"/>
                <w:szCs w:val="18"/>
              </w:rPr>
            </w:pPr>
          </w:p>
        </w:tc>
      </w:tr>
      <w:tr w:rsidR="001C436E" w:rsidRPr="00EB76A9" w14:paraId="6BCBE826" w14:textId="77777777" w:rsidTr="0013095B">
        <w:trPr>
          <w:trHeight w:val="270"/>
        </w:trPr>
        <w:tc>
          <w:tcPr>
            <w:tcW w:w="7222" w:type="dxa"/>
            <w:gridSpan w:val="2"/>
            <w:tcBorders>
              <w:top w:val="single" w:sz="6" w:space="0" w:color="auto"/>
              <w:left w:val="single" w:sz="6" w:space="0" w:color="auto"/>
              <w:bottom w:val="single" w:sz="6" w:space="0" w:color="auto"/>
              <w:right w:val="single" w:sz="6" w:space="0" w:color="auto"/>
            </w:tcBorders>
            <w:hideMark/>
          </w:tcPr>
          <w:p w14:paraId="34F1874E" w14:textId="77777777" w:rsidR="001C436E" w:rsidRPr="00EB76A9" w:rsidRDefault="001C436E" w:rsidP="00256EAD">
            <w:pPr>
              <w:adjustRightInd/>
              <w:ind w:left="127"/>
              <w:textAlignment w:val="baseline"/>
              <w:rPr>
                <w:rFonts w:ascii="Segoe UI" w:eastAsia="Times New Roman" w:hAnsi="Segoe UI" w:cs="Segoe UI"/>
                <w:sz w:val="18"/>
                <w:szCs w:val="18"/>
              </w:rPr>
            </w:pPr>
            <w:r w:rsidRPr="00EB76A9">
              <w:rPr>
                <w:rFonts w:eastAsia="Times New Roman" w:cs="Arial"/>
                <w:b/>
                <w:bCs/>
              </w:rPr>
              <w:t>TOTAL</w:t>
            </w:r>
            <w:r w:rsidRPr="00EB76A9">
              <w:rPr>
                <w:rFonts w:eastAsia="Times New Roman" w:cs="Arial"/>
              </w:rPr>
              <w:t> </w:t>
            </w:r>
          </w:p>
        </w:tc>
        <w:tc>
          <w:tcPr>
            <w:tcW w:w="1275" w:type="dxa"/>
            <w:tcBorders>
              <w:top w:val="single" w:sz="6" w:space="0" w:color="auto"/>
              <w:left w:val="nil"/>
              <w:bottom w:val="single" w:sz="6" w:space="0" w:color="auto"/>
              <w:right w:val="single" w:sz="6" w:space="0" w:color="auto"/>
            </w:tcBorders>
            <w:hideMark/>
          </w:tcPr>
          <w:p w14:paraId="30E08178" w14:textId="77777777" w:rsidR="001C436E" w:rsidRPr="00EB76A9" w:rsidRDefault="001C436E" w:rsidP="00256EAD">
            <w:pPr>
              <w:adjustRightInd/>
              <w:ind w:left="141"/>
              <w:textAlignment w:val="baseline"/>
              <w:rPr>
                <w:rFonts w:ascii="Segoe UI" w:eastAsia="Times New Roman" w:hAnsi="Segoe UI" w:cs="Segoe UI"/>
                <w:sz w:val="18"/>
                <w:szCs w:val="18"/>
              </w:rPr>
            </w:pPr>
            <w:r w:rsidRPr="00EB76A9">
              <w:rPr>
                <w:rFonts w:eastAsia="Times New Roman" w:cs="Arial"/>
                <w:b/>
                <w:bCs/>
              </w:rPr>
              <w:t>100%</w:t>
            </w:r>
            <w:r w:rsidRPr="00EB76A9">
              <w:rPr>
                <w:rFonts w:eastAsia="Times New Roman" w:cs="Arial"/>
              </w:rPr>
              <w:t> </w:t>
            </w:r>
          </w:p>
        </w:tc>
      </w:tr>
    </w:tbl>
    <w:p w14:paraId="354D0FFB" w14:textId="77777777" w:rsidR="002C0D70" w:rsidRDefault="002C0D70" w:rsidP="002C0D70">
      <w:pPr>
        <w:pStyle w:val="Level2"/>
        <w:numPr>
          <w:ilvl w:val="0"/>
          <w:numId w:val="0"/>
        </w:numPr>
      </w:pPr>
    </w:p>
    <w:p w14:paraId="67FEF0BA" w14:textId="6AA47992" w:rsidR="002C0D70" w:rsidRPr="002C0D70" w:rsidRDefault="002C0D70" w:rsidP="00AA0F4D">
      <w:pPr>
        <w:pStyle w:val="Level2"/>
        <w:numPr>
          <w:ilvl w:val="1"/>
          <w:numId w:val="24"/>
        </w:numPr>
        <w:rPr>
          <w:rFonts w:asciiTheme="minorHAnsi" w:eastAsia="Helvetica Neue Light" w:hAnsiTheme="minorHAnsi"/>
          <w:lang w:val="en-US"/>
        </w:rPr>
      </w:pPr>
      <w:r>
        <w:rPr>
          <w:lang w:val="en-US"/>
        </w:rPr>
        <w:t xml:space="preserve">The </w:t>
      </w:r>
      <w:r w:rsidR="000A0E1B">
        <w:rPr>
          <w:lang w:val="en-US"/>
        </w:rPr>
        <w:t>m</w:t>
      </w:r>
      <w:r>
        <w:rPr>
          <w:lang w:val="en-US"/>
        </w:rPr>
        <w:t xml:space="preserve">ost </w:t>
      </w:r>
      <w:r w:rsidR="000A0E1B">
        <w:rPr>
          <w:lang w:val="en-US"/>
        </w:rPr>
        <w:t>a</w:t>
      </w:r>
      <w:r>
        <w:rPr>
          <w:lang w:val="en-US"/>
        </w:rPr>
        <w:t xml:space="preserve">dvantageous </w:t>
      </w:r>
      <w:r w:rsidR="000A0E1B">
        <w:rPr>
          <w:lang w:val="en-US"/>
        </w:rPr>
        <w:t>t</w:t>
      </w:r>
      <w:r>
        <w:rPr>
          <w:lang w:val="en-US"/>
        </w:rPr>
        <w:t>ender</w:t>
      </w:r>
      <w:r w:rsidR="005E7676">
        <w:rPr>
          <w:lang w:val="en-US"/>
        </w:rPr>
        <w:t>s</w:t>
      </w:r>
      <w:r>
        <w:rPr>
          <w:lang w:val="en-US"/>
        </w:rPr>
        <w:t xml:space="preserve"> </w:t>
      </w:r>
      <w:r w:rsidR="005E7676">
        <w:rPr>
          <w:lang w:val="en-US"/>
        </w:rPr>
        <w:t xml:space="preserve">are </w:t>
      </w:r>
      <w:r>
        <w:rPr>
          <w:lang w:val="en-US"/>
        </w:rPr>
        <w:t>the Tender</w:t>
      </w:r>
      <w:r w:rsidR="005E7676">
        <w:rPr>
          <w:lang w:val="en-US"/>
        </w:rPr>
        <w:t>s</w:t>
      </w:r>
      <w:r>
        <w:rPr>
          <w:lang w:val="en-US"/>
        </w:rPr>
        <w:t xml:space="preserve"> that the </w:t>
      </w:r>
      <w:r w:rsidR="00DA171D">
        <w:rPr>
          <w:lang w:val="en-US"/>
        </w:rPr>
        <w:t>Trust</w:t>
      </w:r>
      <w:r>
        <w:rPr>
          <w:lang w:val="en-US"/>
        </w:rPr>
        <w:t xml:space="preserve"> considers:</w:t>
      </w:r>
    </w:p>
    <w:p w14:paraId="3EF9EDC6" w14:textId="55E7BABB" w:rsidR="002C0D70" w:rsidRPr="002C0D70" w:rsidRDefault="002C0D70" w:rsidP="00AF0DFE">
      <w:pPr>
        <w:pStyle w:val="Level3"/>
        <w:rPr>
          <w:rFonts w:asciiTheme="minorHAnsi" w:eastAsia="Helvetica Neue Light" w:hAnsiTheme="minorHAnsi"/>
          <w:lang w:val="en-US"/>
        </w:rPr>
      </w:pPr>
      <w:r w:rsidRPr="002C0D70">
        <w:t xml:space="preserve">satisfies the </w:t>
      </w:r>
      <w:r w:rsidR="00DA171D">
        <w:t>Trust’s</w:t>
      </w:r>
      <w:r w:rsidRPr="002C0D70">
        <w:t xml:space="preserve"> requirements; and</w:t>
      </w:r>
    </w:p>
    <w:p w14:paraId="1A067C11" w14:textId="6DEB2F5D" w:rsidR="002C0D70" w:rsidRPr="0005123E" w:rsidRDefault="00511394" w:rsidP="0005123E">
      <w:pPr>
        <w:pStyle w:val="Level3"/>
        <w:rPr>
          <w:rFonts w:asciiTheme="minorHAnsi" w:eastAsia="Helvetica Neue Light" w:hAnsiTheme="minorHAnsi"/>
          <w:lang w:val="en-US"/>
        </w:rPr>
      </w:pPr>
      <w:r>
        <w:t xml:space="preserve">receive the highest scores against </w:t>
      </w:r>
      <w:r w:rsidR="002C0D70" w:rsidRPr="002C0D70">
        <w:t>the award criteria</w:t>
      </w:r>
      <w:r w:rsidR="002C0D70">
        <w:t>.</w:t>
      </w:r>
      <w:r w:rsidR="006179BE">
        <w:t xml:space="preserve"> </w:t>
      </w:r>
    </w:p>
    <w:p w14:paraId="549E9D60" w14:textId="77777777" w:rsidR="002C0D70" w:rsidRPr="002C0D70" w:rsidRDefault="002C0D70" w:rsidP="00AA0F4D">
      <w:pPr>
        <w:pStyle w:val="Level2"/>
        <w:numPr>
          <w:ilvl w:val="1"/>
          <w:numId w:val="24"/>
        </w:numPr>
        <w:rPr>
          <w:rFonts w:asciiTheme="minorHAnsi" w:eastAsia="Helvetica Neue Light" w:hAnsiTheme="minorHAnsi"/>
          <w:lang w:val="en-US"/>
        </w:rPr>
      </w:pPr>
      <w:r w:rsidRPr="005B4BFF">
        <w:rPr>
          <w:noProof/>
          <w:lang w:val="en-US"/>
        </w:rPr>
        <mc:AlternateContent>
          <mc:Choice Requires="wps">
            <w:drawing>
              <wp:anchor distT="0" distB="0" distL="0" distR="0" simplePos="0" relativeHeight="251658240" behindDoc="0" locked="0" layoutInCell="1" allowOverlap="1" wp14:anchorId="6E5CCDFE" wp14:editId="07C39896">
                <wp:simplePos x="0" y="0"/>
                <wp:positionH relativeFrom="page">
                  <wp:posOffset>2743200</wp:posOffset>
                </wp:positionH>
                <wp:positionV relativeFrom="page">
                  <wp:posOffset>10026650</wp:posOffset>
                </wp:positionV>
                <wp:extent cx="9525" cy="32385"/>
                <wp:effectExtent l="0" t="0" r="28575" b="5715"/>
                <wp:wrapNone/>
                <wp:docPr id="1748770799"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2385"/>
                        </a:xfrm>
                        <a:custGeom>
                          <a:avLst/>
                          <a:gdLst/>
                          <a:ahLst/>
                          <a:cxnLst/>
                          <a:rect l="l" t="t" r="r" b="b"/>
                          <a:pathLst>
                            <a:path w="9525" h="32384">
                              <a:moveTo>
                                <a:pt x="8963" y="0"/>
                              </a:moveTo>
                              <a:lnTo>
                                <a:pt x="0" y="8963"/>
                              </a:lnTo>
                              <a:lnTo>
                                <a:pt x="0" y="31789"/>
                              </a:lnTo>
                              <a:lnTo>
                                <a:pt x="8963" y="31789"/>
                              </a:lnTo>
                              <a:lnTo>
                                <a:pt x="8963"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88FA46" id="Free-form: Shape 8" o:spid="_x0000_s1026" style="position:absolute;margin-left:3in;margin-top:789.5pt;width:.75pt;height:2.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" path="m8963,l,8963,,31789r8963,l8963,xe" fillcolor="black" stroked="f">
                <v:path arrowok="t"/>
                <w10:wrap anchorx="page" anchory="page"/>
              </v:shape>
            </w:pict>
          </mc:Fallback>
        </mc:AlternateContent>
      </w:r>
      <w:r w:rsidRPr="005B4BFF">
        <w:rPr>
          <w:noProof/>
          <w:lang w:val="en-US"/>
        </w:rPr>
        <mc:AlternateContent>
          <mc:Choice Requires="wps">
            <w:drawing>
              <wp:anchor distT="0" distB="0" distL="0" distR="0" simplePos="0" relativeHeight="251658241" behindDoc="0" locked="0" layoutInCell="1" allowOverlap="1" wp14:anchorId="795777F0" wp14:editId="17441027">
                <wp:simplePos x="0" y="0"/>
                <wp:positionH relativeFrom="page">
                  <wp:posOffset>3989070</wp:posOffset>
                </wp:positionH>
                <wp:positionV relativeFrom="page">
                  <wp:posOffset>10026650</wp:posOffset>
                </wp:positionV>
                <wp:extent cx="9525" cy="32385"/>
                <wp:effectExtent l="0" t="0" r="28575" b="5715"/>
                <wp:wrapNone/>
                <wp:docPr id="1020542259"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2385"/>
                        </a:xfrm>
                        <a:custGeom>
                          <a:avLst/>
                          <a:gdLst/>
                          <a:ahLst/>
                          <a:cxnLst/>
                          <a:rect l="l" t="t" r="r" b="b"/>
                          <a:pathLst>
                            <a:path w="9525" h="32384">
                              <a:moveTo>
                                <a:pt x="8963" y="0"/>
                              </a:moveTo>
                              <a:lnTo>
                                <a:pt x="0" y="8963"/>
                              </a:lnTo>
                              <a:lnTo>
                                <a:pt x="0" y="31789"/>
                              </a:lnTo>
                              <a:lnTo>
                                <a:pt x="8963" y="31789"/>
                              </a:lnTo>
                              <a:lnTo>
                                <a:pt x="8963"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88146D" id="Free-form: Shape 7" o:spid="_x0000_s1026" style="position:absolute;margin-left:314.1pt;margin-top:789.5pt;width:.75pt;height:2.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" path="m8963,l,8963,,31789r8963,l8963,xe" fillcolor="black" stroked="f">
                <v:path arrowok="t"/>
                <w10:wrap anchorx="page" anchory="page"/>
              </v:shape>
            </w:pict>
          </mc:Fallback>
        </mc:AlternateContent>
      </w:r>
      <w:r w:rsidRPr="005B4BFF">
        <w:rPr>
          <w:noProof/>
          <w:lang w:val="en-US"/>
        </w:rPr>
        <mc:AlternateContent>
          <mc:Choice Requires="wps">
            <w:drawing>
              <wp:anchor distT="0" distB="0" distL="0" distR="0" simplePos="0" relativeHeight="251658242" behindDoc="0" locked="0" layoutInCell="1" allowOverlap="1" wp14:anchorId="2BA13D55" wp14:editId="16FC7B5B">
                <wp:simplePos x="0" y="0"/>
                <wp:positionH relativeFrom="page">
                  <wp:posOffset>5772785</wp:posOffset>
                </wp:positionH>
                <wp:positionV relativeFrom="page">
                  <wp:posOffset>10026650</wp:posOffset>
                </wp:positionV>
                <wp:extent cx="9525" cy="32385"/>
                <wp:effectExtent l="0" t="0" r="28575" b="5715"/>
                <wp:wrapNone/>
                <wp:docPr id="929837528"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2385"/>
                        </a:xfrm>
                        <a:custGeom>
                          <a:avLst/>
                          <a:gdLst/>
                          <a:ahLst/>
                          <a:cxnLst/>
                          <a:rect l="l" t="t" r="r" b="b"/>
                          <a:pathLst>
                            <a:path w="9525" h="32384">
                              <a:moveTo>
                                <a:pt x="8963" y="0"/>
                              </a:moveTo>
                              <a:lnTo>
                                <a:pt x="0" y="8963"/>
                              </a:lnTo>
                              <a:lnTo>
                                <a:pt x="0" y="31789"/>
                              </a:lnTo>
                              <a:lnTo>
                                <a:pt x="8963" y="31789"/>
                              </a:lnTo>
                              <a:lnTo>
                                <a:pt x="8963"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73E768" id="Free-form: Shape 6" o:spid="_x0000_s1026" style="position:absolute;margin-left:454.55pt;margin-top:789.5pt;width:.75pt;height:2.5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" path="m8963,l,8963,,31789r8963,l8963,xe" fillcolor="black" stroked="f">
                <v:path arrowok="t"/>
                <w10:wrap anchorx="page" anchory="page"/>
              </v:shape>
            </w:pict>
          </mc:Fallback>
        </mc:AlternateContent>
      </w:r>
      <w:r w:rsidRPr="005B4BFF">
        <w:rPr>
          <w:noProof/>
          <w:lang w:val="en-US"/>
        </w:rPr>
        <mc:AlternateContent>
          <mc:Choice Requires="wps">
            <w:drawing>
              <wp:anchor distT="0" distB="0" distL="0" distR="0" simplePos="0" relativeHeight="251658243" behindDoc="0" locked="0" layoutInCell="1" allowOverlap="1" wp14:anchorId="63BAA531" wp14:editId="07DB08E7">
                <wp:simplePos x="0" y="0"/>
                <wp:positionH relativeFrom="page">
                  <wp:posOffset>7260590</wp:posOffset>
                </wp:positionH>
                <wp:positionV relativeFrom="page">
                  <wp:posOffset>10026650</wp:posOffset>
                </wp:positionV>
                <wp:extent cx="9525" cy="32385"/>
                <wp:effectExtent l="0" t="0" r="28575" b="5715"/>
                <wp:wrapNone/>
                <wp:docPr id="1466584163"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2385"/>
                        </a:xfrm>
                        <a:custGeom>
                          <a:avLst/>
                          <a:gdLst/>
                          <a:ahLst/>
                          <a:cxnLst/>
                          <a:rect l="l" t="t" r="r" b="b"/>
                          <a:pathLst>
                            <a:path w="9525" h="32384">
                              <a:moveTo>
                                <a:pt x="8963" y="0"/>
                              </a:moveTo>
                              <a:lnTo>
                                <a:pt x="0" y="8963"/>
                              </a:lnTo>
                              <a:lnTo>
                                <a:pt x="0" y="31789"/>
                              </a:lnTo>
                              <a:lnTo>
                                <a:pt x="8963" y="31789"/>
                              </a:lnTo>
                              <a:lnTo>
                                <a:pt x="8963"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294ABD" id="Free-form: Shape 5" o:spid="_x0000_s1026" style="position:absolute;margin-left:571.7pt;margin-top:789.5pt;width:.75pt;height:2.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" path="m8963,l,8963,,31789r8963,l8963,xe" fillcolor="black" stroked="f">
                <v:path arrowok="t"/>
                <w10:wrap anchorx="page" anchory="page"/>
              </v:shape>
            </w:pict>
          </mc:Fallback>
        </mc:AlternateContent>
      </w:r>
      <w:r w:rsidRPr="005B4BFF">
        <w:rPr>
          <w:lang w:val="en-US"/>
        </w:rPr>
        <w:t>Suppliers</w:t>
      </w:r>
      <w:r w:rsidRPr="002F5E6C">
        <w:t xml:space="preserve"> should</w:t>
      </w:r>
      <w:r>
        <w:t xml:space="preserve"> note that:</w:t>
      </w:r>
    </w:p>
    <w:p w14:paraId="4D40502F" w14:textId="6BF07455" w:rsidR="002C0D70" w:rsidRPr="002C0D70" w:rsidRDefault="002C0D70" w:rsidP="00AF0DFE">
      <w:pPr>
        <w:pStyle w:val="Level3"/>
        <w:rPr>
          <w:rFonts w:asciiTheme="minorHAnsi" w:eastAsia="Helvetica Neue Light" w:hAnsiTheme="minorHAnsi"/>
          <w:lang w:val="en-US"/>
        </w:rPr>
      </w:pPr>
      <w:r w:rsidRPr="002C0D70">
        <w:t xml:space="preserve">where appropriate, the </w:t>
      </w:r>
      <w:r w:rsidR="00DA171D">
        <w:t>Trust</w:t>
      </w:r>
      <w:r w:rsidRPr="002C0D70">
        <w:t xml:space="preserve"> may issue further clarification questions to a Supplier for information that is required to reach a final score;</w:t>
      </w:r>
    </w:p>
    <w:p w14:paraId="5682BCFE" w14:textId="77777777" w:rsidR="002C0D70" w:rsidRPr="002C0D70" w:rsidRDefault="002C0D70" w:rsidP="00AF0DFE">
      <w:pPr>
        <w:pStyle w:val="Level3"/>
        <w:rPr>
          <w:rFonts w:asciiTheme="minorHAnsi" w:eastAsia="Helvetica Neue Light" w:hAnsiTheme="minorHAnsi"/>
          <w:lang w:val="en-US"/>
        </w:rPr>
      </w:pPr>
      <w:r w:rsidRPr="002C0D70">
        <w:lastRenderedPageBreak/>
        <w:t>Suppliers should ensure that their responses to each element of the evaluation are self-contained and do not cross-refer to other elements of their Tender; and</w:t>
      </w:r>
    </w:p>
    <w:p w14:paraId="0DB241DB" w14:textId="77777777" w:rsidR="002C0D70" w:rsidRPr="002C0D70" w:rsidRDefault="002C0D70" w:rsidP="00AA0F4D">
      <w:pPr>
        <w:pStyle w:val="Level2"/>
        <w:numPr>
          <w:ilvl w:val="1"/>
          <w:numId w:val="24"/>
        </w:numPr>
      </w:pPr>
      <w:r w:rsidRPr="002C0D70">
        <w:t xml:space="preserve">The final score awarded to a Supplier will be the sum of the Supplier’s Technical Total score plus the Commercial Total score. </w:t>
      </w:r>
    </w:p>
    <w:p w14:paraId="0A95226A" w14:textId="77777777" w:rsidR="002C0D70" w:rsidRPr="002C0D70" w:rsidRDefault="002C0D70" w:rsidP="005B4BFF">
      <w:pPr>
        <w:pStyle w:val="Level2"/>
        <w:numPr>
          <w:ilvl w:val="0"/>
          <w:numId w:val="0"/>
        </w:numPr>
      </w:pPr>
      <w:r w:rsidRPr="002C0D70">
        <w:rPr>
          <w:b/>
          <w:bCs/>
        </w:rPr>
        <w:t>Technical evaluation</w:t>
      </w:r>
    </w:p>
    <w:p w14:paraId="1655E44C" w14:textId="369EB2E2" w:rsidR="002C0D70" w:rsidRPr="002C0D70" w:rsidRDefault="002C0D70" w:rsidP="00AA0F4D">
      <w:pPr>
        <w:pStyle w:val="Level2"/>
        <w:numPr>
          <w:ilvl w:val="1"/>
          <w:numId w:val="24"/>
        </w:numPr>
      </w:pPr>
      <w:r w:rsidRPr="002C0D70">
        <w:t>The Technical Evaluation places emphasis on the degree of confidence the evaluation team has in the Technical Response provided and the extent to which the Supplier has demonstrated the effective delivery of the outputs and requirements set out in t</w:t>
      </w:r>
      <w:r w:rsidRPr="0005123E">
        <w:t>he Service Specification.</w:t>
      </w:r>
      <w:r w:rsidRPr="002C0D70">
        <w:t xml:space="preserve">  </w:t>
      </w:r>
    </w:p>
    <w:p w14:paraId="7823FC64" w14:textId="04D0C5AF" w:rsidR="002C0D70" w:rsidRPr="002C0D70" w:rsidRDefault="002C0D70" w:rsidP="00AA0F4D">
      <w:pPr>
        <w:pStyle w:val="Level2"/>
        <w:numPr>
          <w:ilvl w:val="1"/>
          <w:numId w:val="24"/>
        </w:numPr>
      </w:pPr>
      <w:r w:rsidRPr="002C0D70">
        <w:t xml:space="preserve">The </w:t>
      </w:r>
      <w:r w:rsidR="00DA171D">
        <w:t>Trust</w:t>
      </w:r>
      <w:r w:rsidRPr="002C0D70">
        <w:t xml:space="preserve"> has allocated</w:t>
      </w:r>
      <w:r w:rsidR="0005123E">
        <w:t xml:space="preserve"> 90</w:t>
      </w:r>
      <w:r w:rsidRPr="002C0D70">
        <w:t>% to the overall marks available for the Technical Envelope. The score given to the response of each criterion will be multiplied by the weighting corresponding to that criterion. The multiplication will result in the final score the Supplier receives for each criterion. The scores for all technical criteria will then be added together to result in a Technical Total.</w:t>
      </w:r>
    </w:p>
    <w:p w14:paraId="17967ECB" w14:textId="77777777" w:rsidR="002C0D70" w:rsidRDefault="002C0D70" w:rsidP="00AA0F4D">
      <w:pPr>
        <w:pStyle w:val="Level2"/>
        <w:numPr>
          <w:ilvl w:val="1"/>
          <w:numId w:val="24"/>
        </w:numPr>
      </w:pPr>
      <w:r w:rsidRPr="002C0D70">
        <w:t>The following scoring criteria will be applied: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517"/>
        <w:gridCol w:w="6242"/>
      </w:tblGrid>
      <w:tr w:rsidR="002C0D70" w:rsidRPr="002C0D70" w14:paraId="7BDAD9A2" w14:textId="77777777" w:rsidTr="00794AB6">
        <w:trPr>
          <w:trHeight w:val="559"/>
          <w:tblHeader/>
        </w:trPr>
        <w:tc>
          <w:tcPr>
            <w:tcW w:w="739" w:type="dxa"/>
            <w:vMerge w:val="restart"/>
            <w:tcBorders>
              <w:top w:val="single" w:sz="4" w:space="0" w:color="auto"/>
              <w:left w:val="single" w:sz="4" w:space="0" w:color="auto"/>
              <w:bottom w:val="single" w:sz="4" w:space="0" w:color="auto"/>
              <w:right w:val="single" w:sz="4" w:space="0" w:color="auto"/>
            </w:tcBorders>
            <w:shd w:val="clear" w:color="auto" w:fill="EEC9E9"/>
            <w:hideMark/>
          </w:tcPr>
          <w:p w14:paraId="5109DCA1" w14:textId="77777777" w:rsidR="002C0D70" w:rsidRPr="002C0D70" w:rsidRDefault="002C0D70" w:rsidP="00737A7F">
            <w:pPr>
              <w:spacing w:after="220"/>
              <w:jc w:val="both"/>
              <w:rPr>
                <w:rFonts w:eastAsia="Arial" w:cs="Arial"/>
              </w:rPr>
            </w:pPr>
            <w:r w:rsidRPr="002C0D70">
              <w:rPr>
                <w:rFonts w:eastAsia="Arial" w:cs="Arial"/>
              </w:rPr>
              <w:t>Score</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EC9E9"/>
            <w:hideMark/>
          </w:tcPr>
          <w:p w14:paraId="0261FA56" w14:textId="77777777" w:rsidR="002C0D70" w:rsidRPr="002C0D70" w:rsidRDefault="002C0D70" w:rsidP="00737A7F">
            <w:pPr>
              <w:spacing w:after="220"/>
              <w:jc w:val="both"/>
              <w:rPr>
                <w:rFonts w:eastAsia="Arial" w:cs="Arial"/>
              </w:rPr>
            </w:pPr>
            <w:r w:rsidRPr="002C0D70">
              <w:rPr>
                <w:rFonts w:eastAsia="Arial" w:cs="Arial"/>
              </w:rPr>
              <w:t>Definition</w:t>
            </w:r>
          </w:p>
        </w:tc>
        <w:tc>
          <w:tcPr>
            <w:tcW w:w="6518" w:type="dxa"/>
            <w:tcBorders>
              <w:top w:val="single" w:sz="4" w:space="0" w:color="auto"/>
              <w:left w:val="single" w:sz="4" w:space="0" w:color="auto"/>
              <w:bottom w:val="single" w:sz="4" w:space="0" w:color="auto"/>
              <w:right w:val="single" w:sz="4" w:space="0" w:color="auto"/>
            </w:tcBorders>
            <w:shd w:val="clear" w:color="auto" w:fill="EEC9E9"/>
            <w:hideMark/>
          </w:tcPr>
          <w:p w14:paraId="03CD73A9" w14:textId="77777777" w:rsidR="002C0D70" w:rsidRPr="002C0D70" w:rsidRDefault="002C0D70" w:rsidP="00737A7F">
            <w:pPr>
              <w:spacing w:after="220"/>
              <w:jc w:val="both"/>
              <w:rPr>
                <w:rFonts w:eastAsia="Arial" w:cs="Arial"/>
              </w:rPr>
            </w:pPr>
            <w:r w:rsidRPr="002C0D70">
              <w:rPr>
                <w:rFonts w:eastAsia="Arial" w:cs="Arial"/>
              </w:rPr>
              <w:t>Be</w:t>
            </w:r>
            <w:r w:rsidRPr="002C0D70">
              <w:rPr>
                <w:rFonts w:eastAsia="Arial" w:cs="Arial"/>
                <w:shd w:val="clear" w:color="auto" w:fill="F9CFE9" w:themeFill="text1" w:themeFillTint="33"/>
              </w:rPr>
              <w:t>nchmark</w:t>
            </w:r>
          </w:p>
        </w:tc>
      </w:tr>
      <w:tr w:rsidR="002C0D70" w:rsidRPr="002C0D70" w14:paraId="421C3FFC" w14:textId="77777777" w:rsidTr="00794AB6">
        <w:trPr>
          <w:trHeight w:val="607"/>
          <w:tblHeader/>
        </w:trPr>
        <w:tc>
          <w:tcPr>
            <w:tcW w:w="739" w:type="dxa"/>
            <w:vMerge/>
            <w:tcBorders>
              <w:top w:val="single" w:sz="4" w:space="0" w:color="auto"/>
              <w:left w:val="single" w:sz="4" w:space="0" w:color="auto"/>
              <w:bottom w:val="single" w:sz="4" w:space="0" w:color="auto"/>
              <w:right w:val="single" w:sz="4" w:space="0" w:color="auto"/>
            </w:tcBorders>
            <w:vAlign w:val="center"/>
            <w:hideMark/>
          </w:tcPr>
          <w:p w14:paraId="15DC1860" w14:textId="77777777" w:rsidR="002C0D70" w:rsidRPr="002C0D70" w:rsidRDefault="002C0D70" w:rsidP="00737A7F">
            <w:pPr>
              <w:adjustRightInd/>
              <w:rPr>
                <w:rFonts w:eastAsia="Arial" w:cs="Arial"/>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379FE13C" w14:textId="77777777" w:rsidR="002C0D70" w:rsidRPr="002C0D70" w:rsidRDefault="002C0D70" w:rsidP="00737A7F">
            <w:pPr>
              <w:adjustRightInd/>
              <w:rPr>
                <w:rFonts w:eastAsia="Arial" w:cs="Arial"/>
              </w:rPr>
            </w:pPr>
          </w:p>
        </w:tc>
        <w:tc>
          <w:tcPr>
            <w:tcW w:w="6518" w:type="dxa"/>
            <w:tcBorders>
              <w:top w:val="single" w:sz="4" w:space="0" w:color="auto"/>
              <w:left w:val="single" w:sz="4" w:space="0" w:color="auto"/>
              <w:bottom w:val="single" w:sz="4" w:space="0" w:color="auto"/>
              <w:right w:val="single" w:sz="4" w:space="0" w:color="auto"/>
            </w:tcBorders>
            <w:shd w:val="clear" w:color="auto" w:fill="D9D9D9"/>
            <w:hideMark/>
          </w:tcPr>
          <w:p w14:paraId="0B9083C8" w14:textId="77777777" w:rsidR="002C0D70" w:rsidRPr="002C0D70" w:rsidRDefault="002C0D70" w:rsidP="00737A7F">
            <w:pPr>
              <w:adjustRightInd/>
              <w:rPr>
                <w:rFonts w:eastAsia="Helvetica Neue Light" w:cs="Arial"/>
              </w:rPr>
            </w:pPr>
            <w:r w:rsidRPr="002C0D70">
              <w:rPr>
                <w:rFonts w:eastAsia="Helvetica Neue Light" w:cs="Arial"/>
                <w:b/>
              </w:rPr>
              <w:t>In the opinion of the evaluators, the Supplier’s response provides information which:</w:t>
            </w:r>
          </w:p>
        </w:tc>
      </w:tr>
      <w:tr w:rsidR="002C0D70" w:rsidRPr="002C0D70" w14:paraId="29ADC050" w14:textId="77777777" w:rsidTr="00794AB6">
        <w:tc>
          <w:tcPr>
            <w:tcW w:w="739" w:type="dxa"/>
            <w:tcBorders>
              <w:top w:val="single" w:sz="4" w:space="0" w:color="auto"/>
              <w:left w:val="single" w:sz="4" w:space="0" w:color="auto"/>
              <w:bottom w:val="single" w:sz="4" w:space="0" w:color="auto"/>
              <w:right w:val="single" w:sz="4" w:space="0" w:color="auto"/>
            </w:tcBorders>
            <w:shd w:val="clear" w:color="auto" w:fill="D9D9D9"/>
            <w:hideMark/>
          </w:tcPr>
          <w:p w14:paraId="50CF8674" w14:textId="77777777" w:rsidR="002C0D70" w:rsidRPr="002C0D70" w:rsidRDefault="002C0D70" w:rsidP="00737A7F">
            <w:pPr>
              <w:spacing w:after="220"/>
              <w:jc w:val="both"/>
              <w:rPr>
                <w:rFonts w:eastAsia="Arial" w:cs="Arial"/>
              </w:rPr>
            </w:pPr>
            <w:r w:rsidRPr="002C0D70">
              <w:rPr>
                <w:rFonts w:eastAsia="Arial" w:cs="Arial"/>
              </w:rPr>
              <w:t>4</w:t>
            </w: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5FD29" w14:textId="77777777" w:rsidR="002C0D70" w:rsidRPr="002C0D70" w:rsidRDefault="002C0D70" w:rsidP="00737A7F">
            <w:pPr>
              <w:spacing w:after="220"/>
              <w:jc w:val="both"/>
              <w:rPr>
                <w:rFonts w:eastAsia="Arial" w:cs="Arial"/>
                <w:b/>
              </w:rPr>
            </w:pPr>
            <w:r w:rsidRPr="002C0D70">
              <w:rPr>
                <w:rFonts w:eastAsia="Arial" w:cs="Arial"/>
                <w:b/>
              </w:rPr>
              <w:t>Excellent</w:t>
            </w:r>
          </w:p>
        </w:tc>
        <w:tc>
          <w:tcPr>
            <w:tcW w:w="6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ADF2C0" w14:textId="5A4D3594" w:rsidR="002C0D70" w:rsidRPr="002C0D70" w:rsidRDefault="002C0D70" w:rsidP="00AA0F4D">
            <w:pPr>
              <w:numPr>
                <w:ilvl w:val="0"/>
                <w:numId w:val="25"/>
              </w:numPr>
              <w:tabs>
                <w:tab w:val="clear" w:pos="720"/>
                <w:tab w:val="num" w:pos="316"/>
              </w:tabs>
              <w:adjustRightInd/>
              <w:ind w:left="316" w:hanging="316"/>
              <w:rPr>
                <w:rFonts w:eastAsia="Helvetica Neue Light" w:cs="Arial"/>
              </w:rPr>
            </w:pPr>
            <w:r w:rsidRPr="002C0D70">
              <w:rPr>
                <w:rFonts w:eastAsia="Helvetica Neue Light" w:cs="Arial"/>
                <w:bCs/>
              </w:rPr>
              <w:t>Addresses all aspects of the Requirements of the Questions;</w:t>
            </w:r>
            <w:r w:rsidR="008B769D">
              <w:rPr>
                <w:rFonts w:eastAsia="Helvetica Neue Light" w:cs="Arial"/>
                <w:bCs/>
              </w:rPr>
              <w:t xml:space="preserve"> </w:t>
            </w:r>
            <w:r w:rsidRPr="002C0D70">
              <w:rPr>
                <w:rFonts w:eastAsia="Helvetica Neue Light" w:cs="Arial"/>
                <w:bCs/>
              </w:rPr>
              <w:t>and</w:t>
            </w:r>
          </w:p>
          <w:p w14:paraId="074675F6" w14:textId="77777777" w:rsidR="002C0D70" w:rsidRPr="002C0D70" w:rsidRDefault="002C0D70" w:rsidP="00737A7F">
            <w:pPr>
              <w:tabs>
                <w:tab w:val="num" w:pos="316"/>
              </w:tabs>
              <w:adjustRightInd/>
              <w:rPr>
                <w:rFonts w:eastAsia="Helvetica Neue Light" w:cs="Arial"/>
              </w:rPr>
            </w:pPr>
          </w:p>
          <w:p w14:paraId="35281969" w14:textId="77777777" w:rsidR="002C0D70" w:rsidRPr="002C0D70" w:rsidRDefault="002C0D70" w:rsidP="00AA0F4D">
            <w:pPr>
              <w:numPr>
                <w:ilvl w:val="0"/>
                <w:numId w:val="25"/>
              </w:numPr>
              <w:tabs>
                <w:tab w:val="clear" w:pos="720"/>
                <w:tab w:val="num" w:pos="316"/>
              </w:tabs>
              <w:adjustRightInd/>
              <w:ind w:left="316" w:hanging="316"/>
              <w:rPr>
                <w:rFonts w:eastAsia="Helvetica Neue Light" w:cs="Arial"/>
                <w:color w:val="000000"/>
              </w:rPr>
            </w:pPr>
            <w:r w:rsidRPr="002C0D70">
              <w:rPr>
                <w:rFonts w:eastAsia="Helvetica Neue Light" w:cs="Arial"/>
                <w:color w:val="000000"/>
              </w:rPr>
              <w:t>Provides a complete and clear methodology,</w:t>
            </w:r>
            <w:r w:rsidRPr="002C0D70">
              <w:rPr>
                <w:rFonts w:eastAsia="Helvetica Neue Light" w:cs="Arial"/>
                <w:bCs/>
                <w:color w:val="000000"/>
              </w:rPr>
              <w:t xml:space="preserve"> </w:t>
            </w:r>
            <w:r w:rsidRPr="002C0D70">
              <w:rPr>
                <w:rFonts w:eastAsia="Helvetica Neue Light" w:cs="Arial"/>
                <w:color w:val="000000"/>
              </w:rPr>
              <w:t xml:space="preserve">relevant supporting information and service levels each of which </w:t>
            </w:r>
            <w:r w:rsidRPr="002C0D70">
              <w:rPr>
                <w:rFonts w:eastAsia="Helvetica Neue Light" w:cs="Arial"/>
                <w:bCs/>
                <w:color w:val="000000"/>
              </w:rPr>
              <w:t>do not contain any substantive weaknesses</w:t>
            </w:r>
            <w:r w:rsidRPr="002C0D70">
              <w:rPr>
                <w:rFonts w:eastAsia="Helvetica Neue Light" w:cs="Arial"/>
                <w:color w:val="000000"/>
              </w:rPr>
              <w:t>; and</w:t>
            </w:r>
          </w:p>
          <w:p w14:paraId="5E63B014" w14:textId="77777777" w:rsidR="002C0D70" w:rsidRPr="002C0D70" w:rsidRDefault="002C0D70" w:rsidP="00737A7F">
            <w:pPr>
              <w:tabs>
                <w:tab w:val="num" w:pos="316"/>
              </w:tabs>
              <w:adjustRightInd/>
              <w:ind w:left="720"/>
              <w:contextualSpacing/>
              <w:rPr>
                <w:rFonts w:eastAsia="Arial" w:cs="Arial"/>
                <w:color w:val="000000"/>
                <w:lang w:val="en-AU" w:eastAsia="en-US"/>
              </w:rPr>
            </w:pPr>
          </w:p>
          <w:p w14:paraId="3166CE6D" w14:textId="77777777" w:rsidR="002C0D70" w:rsidRPr="002C0D70" w:rsidRDefault="002C0D70" w:rsidP="00AA0F4D">
            <w:pPr>
              <w:numPr>
                <w:ilvl w:val="0"/>
                <w:numId w:val="25"/>
              </w:numPr>
              <w:tabs>
                <w:tab w:val="clear" w:pos="720"/>
                <w:tab w:val="num" w:pos="316"/>
              </w:tabs>
              <w:adjustRightInd/>
              <w:ind w:left="316" w:hanging="316"/>
              <w:rPr>
                <w:rFonts w:eastAsia="Arial" w:cs="Arial"/>
              </w:rPr>
            </w:pPr>
            <w:r w:rsidRPr="002C0D70">
              <w:rPr>
                <w:rFonts w:eastAsia="Helvetica Neue Light" w:cs="Arial"/>
                <w:color w:val="000000"/>
              </w:rPr>
              <w:t>Provides complete confidence in the Supplier’s proposed delivery of the Requirement.</w:t>
            </w:r>
          </w:p>
          <w:p w14:paraId="5009F94C" w14:textId="77777777" w:rsidR="002C0D70" w:rsidRPr="002C0D70" w:rsidRDefault="002C0D70" w:rsidP="00737A7F">
            <w:pPr>
              <w:jc w:val="both"/>
              <w:rPr>
                <w:rFonts w:eastAsia="Arial" w:cs="Arial"/>
              </w:rPr>
            </w:pPr>
          </w:p>
        </w:tc>
      </w:tr>
      <w:tr w:rsidR="002C0D70" w:rsidRPr="002C0D70" w14:paraId="44F61759" w14:textId="77777777" w:rsidTr="00794AB6">
        <w:tc>
          <w:tcPr>
            <w:tcW w:w="739" w:type="dxa"/>
            <w:tcBorders>
              <w:top w:val="single" w:sz="4" w:space="0" w:color="auto"/>
              <w:left w:val="single" w:sz="4" w:space="0" w:color="auto"/>
              <w:bottom w:val="single" w:sz="4" w:space="0" w:color="auto"/>
              <w:right w:val="single" w:sz="4" w:space="0" w:color="auto"/>
            </w:tcBorders>
            <w:shd w:val="clear" w:color="auto" w:fill="D9D9D9"/>
            <w:hideMark/>
          </w:tcPr>
          <w:p w14:paraId="09B77F87" w14:textId="77777777" w:rsidR="002C0D70" w:rsidRPr="002C0D70" w:rsidRDefault="002C0D70" w:rsidP="00737A7F">
            <w:pPr>
              <w:spacing w:after="220"/>
              <w:jc w:val="both"/>
              <w:rPr>
                <w:rFonts w:eastAsia="Arial" w:cs="Arial"/>
              </w:rPr>
            </w:pPr>
            <w:r w:rsidRPr="002C0D70">
              <w:rPr>
                <w:rFonts w:eastAsia="Arial" w:cs="Arial"/>
              </w:rPr>
              <w:t>3</w:t>
            </w:r>
          </w:p>
        </w:tc>
        <w:tc>
          <w:tcPr>
            <w:tcW w:w="1241" w:type="dxa"/>
            <w:tcBorders>
              <w:top w:val="single" w:sz="4" w:space="0" w:color="auto"/>
              <w:left w:val="single" w:sz="4" w:space="0" w:color="auto"/>
              <w:bottom w:val="single" w:sz="4" w:space="0" w:color="auto"/>
              <w:right w:val="single" w:sz="4" w:space="0" w:color="auto"/>
            </w:tcBorders>
            <w:shd w:val="clear" w:color="auto" w:fill="D9D9D9"/>
            <w:hideMark/>
          </w:tcPr>
          <w:p w14:paraId="5FA415F0" w14:textId="77777777" w:rsidR="002C0D70" w:rsidRPr="002C0D70" w:rsidRDefault="002C0D70" w:rsidP="00737A7F">
            <w:pPr>
              <w:spacing w:after="220"/>
              <w:jc w:val="both"/>
              <w:rPr>
                <w:rFonts w:eastAsia="Arial" w:cs="Arial"/>
                <w:b/>
              </w:rPr>
            </w:pPr>
            <w:r w:rsidRPr="002C0D70">
              <w:rPr>
                <w:rFonts w:eastAsia="Arial" w:cs="Arial"/>
                <w:b/>
              </w:rPr>
              <w:t>Good</w:t>
            </w:r>
          </w:p>
        </w:tc>
        <w:tc>
          <w:tcPr>
            <w:tcW w:w="6518" w:type="dxa"/>
            <w:tcBorders>
              <w:top w:val="single" w:sz="4" w:space="0" w:color="auto"/>
              <w:left w:val="single" w:sz="4" w:space="0" w:color="auto"/>
              <w:bottom w:val="single" w:sz="4" w:space="0" w:color="auto"/>
              <w:right w:val="single" w:sz="4" w:space="0" w:color="auto"/>
            </w:tcBorders>
            <w:shd w:val="clear" w:color="auto" w:fill="D9D9D9"/>
            <w:vAlign w:val="center"/>
          </w:tcPr>
          <w:p w14:paraId="34EA855C" w14:textId="77777777" w:rsidR="002C0D70" w:rsidRPr="002C0D70" w:rsidRDefault="002C0D70" w:rsidP="00AA0F4D">
            <w:pPr>
              <w:numPr>
                <w:ilvl w:val="0"/>
                <w:numId w:val="26"/>
              </w:numPr>
              <w:tabs>
                <w:tab w:val="clear" w:pos="720"/>
                <w:tab w:val="num" w:pos="316"/>
              </w:tabs>
              <w:adjustRightInd/>
              <w:ind w:left="316" w:hanging="316"/>
              <w:jc w:val="both"/>
              <w:rPr>
                <w:rFonts w:eastAsia="Helvetica Neue Light" w:cs="Arial"/>
                <w:bCs/>
              </w:rPr>
            </w:pPr>
            <w:r w:rsidRPr="002C0D70">
              <w:rPr>
                <w:rFonts w:eastAsia="Helvetica Neue Light" w:cs="Arial"/>
                <w:bCs/>
              </w:rPr>
              <w:t>Addresses all aspects of the Requirements of the Question; and</w:t>
            </w:r>
          </w:p>
          <w:p w14:paraId="240AE6DA" w14:textId="77777777" w:rsidR="002C0D70" w:rsidRPr="002C0D70" w:rsidRDefault="002C0D70" w:rsidP="00737A7F">
            <w:pPr>
              <w:tabs>
                <w:tab w:val="num" w:pos="316"/>
              </w:tabs>
              <w:adjustRightInd/>
              <w:ind w:left="316" w:hanging="316"/>
              <w:rPr>
                <w:rFonts w:eastAsia="Helvetica Neue Light" w:cs="Arial"/>
                <w:bCs/>
              </w:rPr>
            </w:pPr>
          </w:p>
          <w:p w14:paraId="5146F729" w14:textId="77777777" w:rsidR="002C0D70" w:rsidRPr="002C0D70" w:rsidRDefault="002C0D70" w:rsidP="00AA0F4D">
            <w:pPr>
              <w:numPr>
                <w:ilvl w:val="0"/>
                <w:numId w:val="26"/>
              </w:numPr>
              <w:tabs>
                <w:tab w:val="clear" w:pos="720"/>
                <w:tab w:val="num" w:pos="316"/>
              </w:tabs>
              <w:adjustRightInd/>
              <w:ind w:left="316" w:hanging="316"/>
              <w:jc w:val="both"/>
              <w:rPr>
                <w:rFonts w:eastAsia="Helvetica Neue Light" w:cs="Arial"/>
              </w:rPr>
            </w:pPr>
            <w:r w:rsidRPr="002C0D70">
              <w:rPr>
                <w:rFonts w:eastAsia="Helvetica Neue Light" w:cs="Arial"/>
              </w:rPr>
              <w:t xml:space="preserve">Provides a clear methodology and relevant supporting information, but contains minor weaknesses; and </w:t>
            </w:r>
          </w:p>
          <w:p w14:paraId="2A84C20D" w14:textId="77777777" w:rsidR="002C0D70" w:rsidRPr="002C0D70" w:rsidRDefault="002C0D70" w:rsidP="00737A7F">
            <w:pPr>
              <w:tabs>
                <w:tab w:val="num" w:pos="316"/>
              </w:tabs>
              <w:adjustRightInd/>
              <w:ind w:left="316" w:hanging="316"/>
              <w:rPr>
                <w:rFonts w:eastAsia="Helvetica Neue Light" w:cs="Arial"/>
              </w:rPr>
            </w:pPr>
          </w:p>
          <w:p w14:paraId="3792A0B5" w14:textId="77777777" w:rsidR="002C0D70" w:rsidRPr="007D42CE" w:rsidRDefault="002C0D70" w:rsidP="00AA0F4D">
            <w:pPr>
              <w:numPr>
                <w:ilvl w:val="0"/>
                <w:numId w:val="26"/>
              </w:numPr>
              <w:tabs>
                <w:tab w:val="clear" w:pos="720"/>
                <w:tab w:val="num" w:pos="316"/>
              </w:tabs>
              <w:adjustRightInd/>
              <w:ind w:left="316" w:hanging="316"/>
              <w:jc w:val="both"/>
              <w:rPr>
                <w:rFonts w:eastAsia="Arial" w:cs="Arial"/>
              </w:rPr>
            </w:pPr>
            <w:r w:rsidRPr="002C0D70">
              <w:rPr>
                <w:rFonts w:eastAsia="Helvetica Neue Light" w:cs="Arial"/>
                <w:color w:val="000000"/>
              </w:rPr>
              <w:t>Provides confidence in the Supplier’s proposed delivery of the Requirement, with no more than minor reservations.</w:t>
            </w:r>
          </w:p>
          <w:p w14:paraId="4215449D" w14:textId="77777777" w:rsidR="007D42CE" w:rsidRPr="002C0D70" w:rsidRDefault="007D42CE" w:rsidP="00737A7F">
            <w:pPr>
              <w:adjustRightInd/>
              <w:jc w:val="both"/>
              <w:rPr>
                <w:rFonts w:eastAsia="Arial" w:cs="Arial"/>
              </w:rPr>
            </w:pPr>
          </w:p>
        </w:tc>
      </w:tr>
      <w:tr w:rsidR="002C0D70" w:rsidRPr="002C0D70" w14:paraId="744484A0" w14:textId="77777777" w:rsidTr="00794AB6">
        <w:tc>
          <w:tcPr>
            <w:tcW w:w="739" w:type="dxa"/>
            <w:tcBorders>
              <w:top w:val="single" w:sz="4" w:space="0" w:color="auto"/>
              <w:left w:val="single" w:sz="4" w:space="0" w:color="auto"/>
              <w:bottom w:val="single" w:sz="4" w:space="0" w:color="auto"/>
              <w:right w:val="single" w:sz="4" w:space="0" w:color="auto"/>
            </w:tcBorders>
            <w:shd w:val="clear" w:color="auto" w:fill="D9D9D9"/>
            <w:hideMark/>
          </w:tcPr>
          <w:p w14:paraId="2FEA82C8" w14:textId="77777777" w:rsidR="002C0D70" w:rsidRPr="002C0D70" w:rsidRDefault="002C0D70" w:rsidP="00737A7F">
            <w:pPr>
              <w:spacing w:after="220"/>
              <w:jc w:val="both"/>
              <w:rPr>
                <w:rFonts w:eastAsia="Arial" w:cs="Arial"/>
              </w:rPr>
            </w:pPr>
            <w:r w:rsidRPr="002C0D70">
              <w:rPr>
                <w:rFonts w:eastAsia="Arial" w:cs="Arial"/>
              </w:rPr>
              <w:t>2</w:t>
            </w:r>
          </w:p>
        </w:tc>
        <w:tc>
          <w:tcPr>
            <w:tcW w:w="1241" w:type="dxa"/>
            <w:tcBorders>
              <w:top w:val="single" w:sz="4" w:space="0" w:color="auto"/>
              <w:left w:val="single" w:sz="4" w:space="0" w:color="auto"/>
              <w:bottom w:val="single" w:sz="4" w:space="0" w:color="auto"/>
              <w:right w:val="single" w:sz="4" w:space="0" w:color="auto"/>
            </w:tcBorders>
            <w:shd w:val="clear" w:color="auto" w:fill="D9D9D9"/>
            <w:hideMark/>
          </w:tcPr>
          <w:p w14:paraId="52A7F724" w14:textId="77777777" w:rsidR="002C0D70" w:rsidRPr="002C0D70" w:rsidRDefault="002C0D70" w:rsidP="00737A7F">
            <w:pPr>
              <w:spacing w:after="220"/>
              <w:jc w:val="both"/>
              <w:rPr>
                <w:rFonts w:eastAsia="Arial" w:cs="Arial"/>
                <w:b/>
              </w:rPr>
            </w:pPr>
            <w:r w:rsidRPr="002C0D70">
              <w:rPr>
                <w:rFonts w:eastAsia="Arial" w:cs="Arial"/>
                <w:b/>
              </w:rPr>
              <w:t>Moderate</w:t>
            </w:r>
          </w:p>
        </w:tc>
        <w:tc>
          <w:tcPr>
            <w:tcW w:w="6518" w:type="dxa"/>
            <w:tcBorders>
              <w:top w:val="single" w:sz="4" w:space="0" w:color="auto"/>
              <w:left w:val="single" w:sz="4" w:space="0" w:color="auto"/>
              <w:bottom w:val="single" w:sz="4" w:space="0" w:color="auto"/>
              <w:right w:val="single" w:sz="4" w:space="0" w:color="auto"/>
            </w:tcBorders>
            <w:shd w:val="clear" w:color="auto" w:fill="D9D9D9"/>
            <w:vAlign w:val="center"/>
          </w:tcPr>
          <w:p w14:paraId="10C0FAAB" w14:textId="77777777" w:rsidR="002C0D70" w:rsidRPr="002C0D70" w:rsidRDefault="002C0D70" w:rsidP="00AA0F4D">
            <w:pPr>
              <w:numPr>
                <w:ilvl w:val="0"/>
                <w:numId w:val="27"/>
              </w:numPr>
              <w:tabs>
                <w:tab w:val="clear" w:pos="720"/>
                <w:tab w:val="num" w:pos="316"/>
              </w:tabs>
              <w:adjustRightInd/>
              <w:ind w:left="316" w:hanging="316"/>
              <w:jc w:val="both"/>
              <w:rPr>
                <w:rFonts w:eastAsia="Helvetica Neue Light" w:cs="Arial"/>
              </w:rPr>
            </w:pPr>
            <w:r w:rsidRPr="002C0D70">
              <w:rPr>
                <w:rFonts w:eastAsia="Helvetica Neue Light" w:cs="Arial"/>
                <w:bCs/>
              </w:rPr>
              <w:t xml:space="preserve">Addresses almost all aspects of the Requirement of the Question; and/or </w:t>
            </w:r>
          </w:p>
          <w:p w14:paraId="565D3CC0" w14:textId="77777777" w:rsidR="002C0D70" w:rsidRPr="002C0D70" w:rsidRDefault="002C0D70" w:rsidP="00737A7F">
            <w:pPr>
              <w:tabs>
                <w:tab w:val="num" w:pos="316"/>
              </w:tabs>
              <w:adjustRightInd/>
              <w:ind w:left="316" w:hanging="316"/>
              <w:rPr>
                <w:rFonts w:eastAsia="Helvetica Neue Light" w:cs="Arial"/>
              </w:rPr>
            </w:pPr>
          </w:p>
          <w:p w14:paraId="51F0684B" w14:textId="77777777" w:rsidR="002C0D70" w:rsidRPr="002C0D70" w:rsidRDefault="002C0D70" w:rsidP="00AA0F4D">
            <w:pPr>
              <w:numPr>
                <w:ilvl w:val="0"/>
                <w:numId w:val="27"/>
              </w:numPr>
              <w:tabs>
                <w:tab w:val="clear" w:pos="720"/>
                <w:tab w:val="num" w:pos="316"/>
              </w:tabs>
              <w:adjustRightInd/>
              <w:ind w:left="316" w:hanging="316"/>
              <w:jc w:val="both"/>
              <w:rPr>
                <w:rFonts w:eastAsia="Helvetica Neue Light" w:cs="Arial"/>
              </w:rPr>
            </w:pPr>
            <w:r w:rsidRPr="002C0D70">
              <w:rPr>
                <w:rFonts w:eastAsia="Helvetica Neue Light" w:cs="Arial"/>
              </w:rPr>
              <w:t xml:space="preserve">Provides a methodology and supporting information that </w:t>
            </w:r>
            <w:r w:rsidRPr="002C0D70">
              <w:rPr>
                <w:rFonts w:eastAsia="Helvetica Neue Light" w:cs="Arial"/>
                <w:bCs/>
              </w:rPr>
              <w:t>contains no more than moderate weaknesses</w:t>
            </w:r>
            <w:r w:rsidRPr="002C0D70">
              <w:rPr>
                <w:rFonts w:eastAsia="Helvetica Neue Light" w:cs="Arial"/>
              </w:rPr>
              <w:t>; and</w:t>
            </w:r>
          </w:p>
          <w:p w14:paraId="0EDDD739" w14:textId="77777777" w:rsidR="002C0D70" w:rsidRPr="002C0D70" w:rsidRDefault="002C0D70" w:rsidP="00737A7F">
            <w:pPr>
              <w:tabs>
                <w:tab w:val="num" w:pos="316"/>
              </w:tabs>
              <w:adjustRightInd/>
              <w:ind w:left="316" w:hanging="316"/>
              <w:rPr>
                <w:rFonts w:eastAsia="Helvetica Neue Light" w:cs="Arial"/>
              </w:rPr>
            </w:pPr>
          </w:p>
          <w:p w14:paraId="172BB0E1" w14:textId="77777777" w:rsidR="002C0D70" w:rsidRPr="007D42CE" w:rsidRDefault="002C0D70" w:rsidP="00AA0F4D">
            <w:pPr>
              <w:numPr>
                <w:ilvl w:val="0"/>
                <w:numId w:val="27"/>
              </w:numPr>
              <w:tabs>
                <w:tab w:val="clear" w:pos="720"/>
                <w:tab w:val="num" w:pos="316"/>
              </w:tabs>
              <w:adjustRightInd/>
              <w:ind w:left="316" w:hanging="316"/>
              <w:jc w:val="both"/>
              <w:rPr>
                <w:rFonts w:eastAsia="Arial" w:cs="Arial"/>
              </w:rPr>
            </w:pPr>
            <w:r w:rsidRPr="002C0D70">
              <w:rPr>
                <w:rFonts w:eastAsia="Helvetica Neue Light" w:cs="Arial"/>
                <w:color w:val="000000"/>
              </w:rPr>
              <w:t>Provides a moderate level of confidence in the Supplier's proposed delivery of the Requirement, with no more than moderate reservations.</w:t>
            </w:r>
          </w:p>
          <w:p w14:paraId="6F964E3E" w14:textId="576CA618" w:rsidR="007D42CE" w:rsidRPr="002C0D70" w:rsidRDefault="007D42CE" w:rsidP="00737A7F">
            <w:pPr>
              <w:adjustRightInd/>
              <w:jc w:val="both"/>
              <w:rPr>
                <w:rFonts w:eastAsia="Arial" w:cs="Arial"/>
              </w:rPr>
            </w:pPr>
          </w:p>
        </w:tc>
      </w:tr>
      <w:tr w:rsidR="002C0D70" w:rsidRPr="002C0D70" w14:paraId="267AEB5F" w14:textId="77777777" w:rsidTr="00794AB6">
        <w:tc>
          <w:tcPr>
            <w:tcW w:w="739" w:type="dxa"/>
            <w:tcBorders>
              <w:top w:val="single" w:sz="4" w:space="0" w:color="auto"/>
              <w:left w:val="single" w:sz="4" w:space="0" w:color="auto"/>
              <w:bottom w:val="single" w:sz="4" w:space="0" w:color="auto"/>
              <w:right w:val="single" w:sz="4" w:space="0" w:color="auto"/>
            </w:tcBorders>
            <w:shd w:val="clear" w:color="auto" w:fill="D9D9D9"/>
            <w:hideMark/>
          </w:tcPr>
          <w:p w14:paraId="03A0E1BE" w14:textId="77777777" w:rsidR="002C0D70" w:rsidRPr="002C0D70" w:rsidRDefault="002C0D70" w:rsidP="00737A7F">
            <w:pPr>
              <w:spacing w:after="220"/>
              <w:jc w:val="both"/>
              <w:rPr>
                <w:rFonts w:eastAsia="Arial" w:cs="Arial"/>
              </w:rPr>
            </w:pPr>
            <w:r w:rsidRPr="002C0D70">
              <w:rPr>
                <w:rFonts w:eastAsia="Arial" w:cs="Arial"/>
              </w:rPr>
              <w:t>1</w:t>
            </w:r>
          </w:p>
        </w:tc>
        <w:tc>
          <w:tcPr>
            <w:tcW w:w="1241" w:type="dxa"/>
            <w:tcBorders>
              <w:top w:val="single" w:sz="4" w:space="0" w:color="auto"/>
              <w:left w:val="single" w:sz="4" w:space="0" w:color="auto"/>
              <w:bottom w:val="single" w:sz="4" w:space="0" w:color="auto"/>
              <w:right w:val="single" w:sz="4" w:space="0" w:color="auto"/>
            </w:tcBorders>
            <w:shd w:val="clear" w:color="auto" w:fill="D9D9D9"/>
            <w:hideMark/>
          </w:tcPr>
          <w:p w14:paraId="4E00F3FD" w14:textId="77777777" w:rsidR="002C0D70" w:rsidRPr="002C0D70" w:rsidRDefault="002C0D70" w:rsidP="00737A7F">
            <w:pPr>
              <w:spacing w:after="220"/>
              <w:jc w:val="both"/>
              <w:rPr>
                <w:rFonts w:eastAsia="Arial" w:cs="Arial"/>
                <w:b/>
              </w:rPr>
            </w:pPr>
            <w:r w:rsidRPr="002C0D70">
              <w:rPr>
                <w:rFonts w:eastAsia="Arial" w:cs="Arial"/>
                <w:b/>
              </w:rPr>
              <w:t>Weak</w:t>
            </w:r>
          </w:p>
        </w:tc>
        <w:tc>
          <w:tcPr>
            <w:tcW w:w="6518" w:type="dxa"/>
            <w:tcBorders>
              <w:top w:val="single" w:sz="4" w:space="0" w:color="auto"/>
              <w:left w:val="single" w:sz="4" w:space="0" w:color="auto"/>
              <w:bottom w:val="single" w:sz="4" w:space="0" w:color="auto"/>
              <w:right w:val="single" w:sz="4" w:space="0" w:color="auto"/>
            </w:tcBorders>
            <w:shd w:val="clear" w:color="auto" w:fill="D9D9D9"/>
            <w:vAlign w:val="center"/>
          </w:tcPr>
          <w:p w14:paraId="159D1312" w14:textId="77777777" w:rsidR="002C0D70" w:rsidRPr="002C0D70" w:rsidRDefault="002C0D70" w:rsidP="00AA0F4D">
            <w:pPr>
              <w:numPr>
                <w:ilvl w:val="0"/>
                <w:numId w:val="27"/>
              </w:numPr>
              <w:tabs>
                <w:tab w:val="clear" w:pos="720"/>
                <w:tab w:val="num" w:pos="316"/>
              </w:tabs>
              <w:adjustRightInd/>
              <w:jc w:val="both"/>
              <w:rPr>
                <w:rFonts w:eastAsia="Helvetica Neue Light" w:cs="Arial"/>
              </w:rPr>
            </w:pPr>
            <w:r w:rsidRPr="002C0D70">
              <w:rPr>
                <w:rFonts w:eastAsia="Helvetica Neue Light" w:cs="Arial"/>
                <w:bCs/>
              </w:rPr>
              <w:t>Partially addresses the Requirement of the Question</w:t>
            </w:r>
            <w:r w:rsidRPr="002C0D70">
              <w:rPr>
                <w:rFonts w:eastAsia="Helvetica Neue Light" w:cs="Arial"/>
              </w:rPr>
              <w:t xml:space="preserve">; and/or </w:t>
            </w:r>
          </w:p>
          <w:p w14:paraId="45F14B11" w14:textId="77777777" w:rsidR="002C0D70" w:rsidRPr="002C0D70" w:rsidRDefault="002C0D70" w:rsidP="00737A7F">
            <w:pPr>
              <w:adjustRightInd/>
              <w:rPr>
                <w:rFonts w:eastAsia="Helvetica Neue Light" w:cs="Arial"/>
              </w:rPr>
            </w:pPr>
          </w:p>
          <w:p w14:paraId="54D9A77D" w14:textId="77777777" w:rsidR="002C0D70" w:rsidRPr="002C0D70" w:rsidRDefault="002C0D70" w:rsidP="00AA0F4D">
            <w:pPr>
              <w:numPr>
                <w:ilvl w:val="0"/>
                <w:numId w:val="28"/>
              </w:numPr>
              <w:tabs>
                <w:tab w:val="clear" w:pos="720"/>
                <w:tab w:val="num" w:pos="316"/>
              </w:tabs>
              <w:adjustRightInd/>
              <w:ind w:left="316" w:hanging="316"/>
              <w:jc w:val="both"/>
              <w:rPr>
                <w:rFonts w:eastAsia="Helvetica Neue Light" w:cs="Arial"/>
                <w:bCs/>
              </w:rPr>
            </w:pPr>
            <w:r w:rsidRPr="002C0D70">
              <w:rPr>
                <w:rFonts w:eastAsia="Helvetica Neue Light" w:cs="Arial"/>
              </w:rPr>
              <w:t>Provides a methodology and supporting information that are of limited or no relevance, or contain significant weaknesses</w:t>
            </w:r>
            <w:r w:rsidRPr="002C0D70">
              <w:rPr>
                <w:rFonts w:eastAsia="Helvetica Neue Light" w:cs="Arial"/>
                <w:bCs/>
              </w:rPr>
              <w:t>; and/or</w:t>
            </w:r>
          </w:p>
          <w:p w14:paraId="3CFB37DC" w14:textId="77777777" w:rsidR="002C0D70" w:rsidRPr="002C0D70" w:rsidRDefault="002C0D70" w:rsidP="00737A7F">
            <w:pPr>
              <w:tabs>
                <w:tab w:val="num" w:pos="316"/>
              </w:tabs>
              <w:adjustRightInd/>
              <w:rPr>
                <w:rFonts w:eastAsia="Helvetica Neue Light" w:cs="Arial"/>
                <w:bCs/>
              </w:rPr>
            </w:pPr>
          </w:p>
          <w:p w14:paraId="6E06E3C0" w14:textId="77777777" w:rsidR="002C0D70" w:rsidRPr="00737A7F" w:rsidRDefault="002C0D70" w:rsidP="00AA0F4D">
            <w:pPr>
              <w:numPr>
                <w:ilvl w:val="0"/>
                <w:numId w:val="28"/>
              </w:numPr>
              <w:tabs>
                <w:tab w:val="clear" w:pos="720"/>
                <w:tab w:val="num" w:pos="316"/>
              </w:tabs>
              <w:adjustRightInd/>
              <w:ind w:left="316" w:hanging="316"/>
              <w:jc w:val="both"/>
              <w:rPr>
                <w:rFonts w:eastAsia="Arial" w:cs="Arial"/>
              </w:rPr>
            </w:pPr>
            <w:r w:rsidRPr="002C0D70">
              <w:rPr>
                <w:rFonts w:eastAsia="Helvetica Neue Light" w:cs="Arial"/>
                <w:color w:val="000000"/>
              </w:rPr>
              <w:t>The evaluators have significant reservations regarding the Supplier's proposed delivery of the Requirement.</w:t>
            </w:r>
          </w:p>
          <w:p w14:paraId="0C9AB769" w14:textId="77777777" w:rsidR="00737A7F" w:rsidRPr="002C0D70" w:rsidRDefault="00737A7F" w:rsidP="00737A7F">
            <w:pPr>
              <w:adjustRightInd/>
              <w:jc w:val="both"/>
              <w:rPr>
                <w:rFonts w:eastAsia="Arial" w:cs="Arial"/>
              </w:rPr>
            </w:pPr>
          </w:p>
        </w:tc>
      </w:tr>
      <w:tr w:rsidR="002C0D70" w:rsidRPr="002C0D70" w14:paraId="4CBC3D32" w14:textId="77777777" w:rsidTr="00794AB6">
        <w:trPr>
          <w:trHeight w:val="921"/>
        </w:trPr>
        <w:tc>
          <w:tcPr>
            <w:tcW w:w="739" w:type="dxa"/>
            <w:tcBorders>
              <w:top w:val="single" w:sz="4" w:space="0" w:color="auto"/>
              <w:left w:val="single" w:sz="4" w:space="0" w:color="auto"/>
              <w:bottom w:val="single" w:sz="4" w:space="0" w:color="auto"/>
              <w:right w:val="single" w:sz="4" w:space="0" w:color="auto"/>
            </w:tcBorders>
            <w:shd w:val="clear" w:color="auto" w:fill="D9D9D9"/>
            <w:hideMark/>
          </w:tcPr>
          <w:p w14:paraId="54A46624" w14:textId="77777777" w:rsidR="002C0D70" w:rsidRPr="002C0D70" w:rsidRDefault="002C0D70" w:rsidP="00737A7F">
            <w:pPr>
              <w:spacing w:after="220"/>
              <w:jc w:val="both"/>
              <w:rPr>
                <w:rFonts w:eastAsia="Arial" w:cs="Arial"/>
              </w:rPr>
            </w:pPr>
            <w:r w:rsidRPr="002C0D70">
              <w:rPr>
                <w:rFonts w:eastAsia="Arial" w:cs="Arial"/>
              </w:rPr>
              <w:lastRenderedPageBreak/>
              <w:t>0</w:t>
            </w:r>
          </w:p>
        </w:tc>
        <w:tc>
          <w:tcPr>
            <w:tcW w:w="1241" w:type="dxa"/>
            <w:tcBorders>
              <w:top w:val="single" w:sz="4" w:space="0" w:color="auto"/>
              <w:left w:val="single" w:sz="4" w:space="0" w:color="auto"/>
              <w:bottom w:val="single" w:sz="4" w:space="0" w:color="auto"/>
              <w:right w:val="single" w:sz="4" w:space="0" w:color="auto"/>
            </w:tcBorders>
            <w:shd w:val="clear" w:color="auto" w:fill="D9D9D9"/>
            <w:hideMark/>
          </w:tcPr>
          <w:p w14:paraId="41EF499F" w14:textId="77777777" w:rsidR="002C0D70" w:rsidRPr="002C0D70" w:rsidRDefault="002C0D70" w:rsidP="00737A7F">
            <w:pPr>
              <w:spacing w:after="220"/>
              <w:jc w:val="both"/>
              <w:rPr>
                <w:rFonts w:eastAsia="Arial" w:cs="Arial"/>
                <w:b/>
              </w:rPr>
            </w:pPr>
            <w:r w:rsidRPr="002C0D70">
              <w:rPr>
                <w:rFonts w:eastAsia="Arial" w:cs="Arial"/>
                <w:b/>
              </w:rPr>
              <w:t>Unacceptable</w:t>
            </w:r>
          </w:p>
        </w:tc>
        <w:tc>
          <w:tcPr>
            <w:tcW w:w="65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82ABC" w14:textId="77777777" w:rsidR="002C0D70" w:rsidRPr="004B24D3" w:rsidRDefault="002C0D70" w:rsidP="00AA0F4D">
            <w:pPr>
              <w:pStyle w:val="ListParagraph"/>
              <w:numPr>
                <w:ilvl w:val="0"/>
                <w:numId w:val="79"/>
              </w:numPr>
              <w:adjustRightInd/>
              <w:ind w:left="316" w:hanging="283"/>
              <w:rPr>
                <w:rFonts w:eastAsia="Arial" w:cs="Arial"/>
              </w:rPr>
            </w:pPr>
            <w:r w:rsidRPr="004B24D3">
              <w:rPr>
                <w:rFonts w:eastAsia="Helvetica Neue Light" w:cs="Arial"/>
              </w:rPr>
              <w:t>No response or the response does not give the evaluators any confidence in the Supplier's proposed delivery of the Requirement. </w:t>
            </w:r>
          </w:p>
        </w:tc>
      </w:tr>
    </w:tbl>
    <w:p w14:paraId="09AB2E98" w14:textId="1D03F03C" w:rsidR="002C0D70" w:rsidRPr="002C0D70" w:rsidRDefault="00737A7F" w:rsidP="002C0D70">
      <w:pPr>
        <w:pStyle w:val="Level2"/>
        <w:numPr>
          <w:ilvl w:val="0"/>
          <w:numId w:val="0"/>
        </w:numPr>
      </w:pPr>
      <w:r>
        <w:br w:type="textWrapping" w:clear="all"/>
      </w:r>
    </w:p>
    <w:p w14:paraId="185C4A71" w14:textId="790BFBE3" w:rsidR="002C0D70" w:rsidRPr="002C0D70" w:rsidRDefault="002C0D70" w:rsidP="00AA0F4D">
      <w:pPr>
        <w:pStyle w:val="Level2"/>
        <w:numPr>
          <w:ilvl w:val="1"/>
          <w:numId w:val="24"/>
        </w:numPr>
      </w:pPr>
      <w:r w:rsidRPr="002C0D70">
        <w:t xml:space="preserve">Each sub-criterion will be evaluated separately. For each question, the Supplier shall be awarded a score out of 0-4. </w:t>
      </w:r>
      <w:r w:rsidR="00393C34" w:rsidRPr="00393C34">
        <w:t>The evaluators reserve the right to award scores between whole numbers (e.g., 2.5 or 3.8).</w:t>
      </w:r>
      <w:r w:rsidRPr="002C0D70">
        <w:t xml:space="preserve"> The weighted score for each sub-criterion shall be calculated so that: </w:t>
      </w:r>
    </w:p>
    <w:p w14:paraId="27A09337" w14:textId="77777777" w:rsidR="002C0D70" w:rsidRPr="002C0D70" w:rsidRDefault="002C0D70" w:rsidP="00D52241">
      <w:pPr>
        <w:pStyle w:val="Level2"/>
        <w:numPr>
          <w:ilvl w:val="0"/>
          <w:numId w:val="0"/>
        </w:numPr>
        <w:ind w:left="720"/>
      </w:pPr>
      <w:r w:rsidRPr="002C0D70">
        <w:t>For a score of 0 – the question weighting is multiplied by 0%</w:t>
      </w:r>
    </w:p>
    <w:p w14:paraId="563C675E" w14:textId="77777777" w:rsidR="002C0D70" w:rsidRPr="002C0D70" w:rsidRDefault="002C0D70" w:rsidP="00D52241">
      <w:pPr>
        <w:pStyle w:val="Level2"/>
        <w:numPr>
          <w:ilvl w:val="0"/>
          <w:numId w:val="0"/>
        </w:numPr>
        <w:ind w:left="720"/>
      </w:pPr>
      <w:r w:rsidRPr="002C0D70">
        <w:t>For a score of 1 – the question weighting is multiplied by 25%</w:t>
      </w:r>
    </w:p>
    <w:p w14:paraId="66565870" w14:textId="77777777" w:rsidR="002C0D70" w:rsidRPr="002C0D70" w:rsidRDefault="002C0D70" w:rsidP="00D52241">
      <w:pPr>
        <w:pStyle w:val="Level2"/>
        <w:numPr>
          <w:ilvl w:val="0"/>
          <w:numId w:val="0"/>
        </w:numPr>
        <w:ind w:left="720"/>
      </w:pPr>
      <w:r w:rsidRPr="002C0D70">
        <w:t>For a score of 2 – the question weighting is multiplied by 50%</w:t>
      </w:r>
    </w:p>
    <w:p w14:paraId="198BB1FB" w14:textId="77777777" w:rsidR="002C0D70" w:rsidRPr="002C0D70" w:rsidRDefault="002C0D70" w:rsidP="00D52241">
      <w:pPr>
        <w:pStyle w:val="Level2"/>
        <w:numPr>
          <w:ilvl w:val="0"/>
          <w:numId w:val="0"/>
        </w:numPr>
        <w:ind w:left="720"/>
      </w:pPr>
      <w:r w:rsidRPr="002C0D70">
        <w:t>For a score of 3 – the question weighting is multiplied by 75%</w:t>
      </w:r>
    </w:p>
    <w:p w14:paraId="1F37B63D" w14:textId="77777777" w:rsidR="002C0D70" w:rsidRPr="002C0D70" w:rsidRDefault="002C0D70" w:rsidP="00D52241">
      <w:pPr>
        <w:pStyle w:val="Level2"/>
        <w:numPr>
          <w:ilvl w:val="0"/>
          <w:numId w:val="0"/>
        </w:numPr>
        <w:ind w:left="720"/>
      </w:pPr>
      <w:r w:rsidRPr="002C0D70">
        <w:t>For a score of 4 – the question weighting is multiplied by 100%</w:t>
      </w:r>
    </w:p>
    <w:p w14:paraId="375703A6" w14:textId="77777777" w:rsidR="002C0D70" w:rsidRPr="002C0D70" w:rsidRDefault="002C0D70" w:rsidP="00D52241">
      <w:pPr>
        <w:pStyle w:val="Level2"/>
        <w:numPr>
          <w:ilvl w:val="0"/>
          <w:numId w:val="0"/>
        </w:numPr>
        <w:ind w:left="720"/>
      </w:pPr>
      <w:r w:rsidRPr="002C0D70">
        <w:rPr>
          <w:b/>
          <w:bCs/>
        </w:rPr>
        <w:t xml:space="preserve">Worked example: </w:t>
      </w:r>
      <w:r w:rsidRPr="002C0D70">
        <w:t>if a question weighting is 7% and a score of 2 is awarded:</w:t>
      </w:r>
    </w:p>
    <w:p w14:paraId="2033C7B4" w14:textId="77777777" w:rsidR="002C0D70" w:rsidRPr="002C0D70" w:rsidRDefault="002C0D70" w:rsidP="00D52241">
      <w:pPr>
        <w:pStyle w:val="Level2"/>
        <w:numPr>
          <w:ilvl w:val="0"/>
          <w:numId w:val="0"/>
        </w:numPr>
        <w:ind w:left="720"/>
      </w:pPr>
      <w:r w:rsidRPr="002C0D70">
        <w:t>7 x 50% = 3.5</w:t>
      </w:r>
    </w:p>
    <w:p w14:paraId="7D811A68" w14:textId="634F95AD" w:rsidR="002C0D70" w:rsidRPr="002C0D70" w:rsidRDefault="002C0D70" w:rsidP="00D52241">
      <w:pPr>
        <w:pStyle w:val="Level2"/>
        <w:numPr>
          <w:ilvl w:val="0"/>
          <w:numId w:val="0"/>
        </w:numPr>
        <w:ind w:left="720"/>
      </w:pPr>
      <w:r w:rsidRPr="002C0D70">
        <w:t>The Supplier will score 3.5 for its response to the question.</w:t>
      </w:r>
    </w:p>
    <w:p w14:paraId="68A37064" w14:textId="4548A15C" w:rsidR="00CA4380" w:rsidRPr="00D7370B" w:rsidRDefault="002C0D70">
      <w:pPr>
        <w:pStyle w:val="Level2"/>
        <w:numPr>
          <w:ilvl w:val="0"/>
          <w:numId w:val="0"/>
        </w:numPr>
        <w:rPr>
          <w:b/>
          <w:bCs/>
        </w:rPr>
      </w:pPr>
      <w:r w:rsidRPr="005B4BFF">
        <w:t>Responses to all questions</w:t>
      </w:r>
      <w:r w:rsidRPr="002C0D70">
        <w:t xml:space="preserve"> are mandatory unless otherwise stated.</w:t>
      </w:r>
    </w:p>
    <w:p w14:paraId="7E250157" w14:textId="44220841" w:rsidR="002C0D70" w:rsidRPr="00F51C16" w:rsidRDefault="002C0D70" w:rsidP="002C0D70">
      <w:pPr>
        <w:pStyle w:val="Level2"/>
        <w:numPr>
          <w:ilvl w:val="0"/>
          <w:numId w:val="0"/>
        </w:numPr>
        <w:ind w:left="720" w:hanging="720"/>
      </w:pPr>
      <w:r w:rsidRPr="00322B78">
        <w:rPr>
          <w:b/>
          <w:bCs/>
        </w:rPr>
        <w:t xml:space="preserve">Commercial </w:t>
      </w:r>
      <w:r w:rsidRPr="00F51C16">
        <w:rPr>
          <w:b/>
        </w:rPr>
        <w:t>Evaluation</w:t>
      </w:r>
    </w:p>
    <w:p w14:paraId="6CB14F47" w14:textId="68A5E09C" w:rsidR="002C0D70" w:rsidRPr="00F51C16" w:rsidRDefault="00A247A3" w:rsidP="00AA0F4D">
      <w:pPr>
        <w:pStyle w:val="Level2"/>
        <w:numPr>
          <w:ilvl w:val="1"/>
          <w:numId w:val="24"/>
        </w:numPr>
      </w:pPr>
      <w:r w:rsidRPr="00322B78">
        <w:t>The</w:t>
      </w:r>
      <w:r w:rsidRPr="002F0DE4">
        <w:t xml:space="preserve"> Trust</w:t>
      </w:r>
      <w:r w:rsidR="002C0D70" w:rsidRPr="002F0DE4">
        <w:t xml:space="preserve"> </w:t>
      </w:r>
      <w:r w:rsidRPr="002F0DE4">
        <w:t>is establishing</w:t>
      </w:r>
      <w:r w:rsidRPr="00A247A3">
        <w:t xml:space="preserve"> a multi-supplier Framework Agreement for research, evaluation and evidence services. At this stage there is no single defined project or Call-Off </w:t>
      </w:r>
      <w:r w:rsidR="0056188D">
        <w:t>c</w:t>
      </w:r>
      <w:r w:rsidRPr="00A247A3">
        <w:t>ontract; the nature, size and duration of future Call-Offs will vary over the life of the Framework.</w:t>
      </w:r>
    </w:p>
    <w:p w14:paraId="137734AB" w14:textId="6DB3195A" w:rsidR="0012266E" w:rsidRDefault="0012266E" w:rsidP="00AA0F4D">
      <w:pPr>
        <w:pStyle w:val="Level2"/>
        <w:numPr>
          <w:ilvl w:val="1"/>
          <w:numId w:val="24"/>
        </w:numPr>
      </w:pPr>
      <w:r>
        <w:t>In this context, it is not appropriate or practicable to evaluate price on the basis of a fixed total project cost. Instead, the</w:t>
      </w:r>
      <w:r w:rsidR="002F0DE4">
        <w:t xml:space="preserve"> Trust</w:t>
      </w:r>
      <w:r>
        <w:t xml:space="preserve"> will assess </w:t>
      </w:r>
      <w:r w:rsidR="00B762F2">
        <w:t>bidders</w:t>
      </w:r>
      <w:r>
        <w:t>’ commercial offers using a day rate method, under which:</w:t>
      </w:r>
    </w:p>
    <w:p w14:paraId="537B833B" w14:textId="3E2AC10D" w:rsidR="004C1136" w:rsidRDefault="00B762F2" w:rsidP="00AA0F4D">
      <w:pPr>
        <w:pStyle w:val="Level2"/>
        <w:numPr>
          <w:ilvl w:val="0"/>
          <w:numId w:val="79"/>
        </w:numPr>
        <w:ind w:left="993"/>
      </w:pPr>
      <w:r>
        <w:t>Bidders</w:t>
      </w:r>
      <w:r w:rsidR="0012266E">
        <w:t xml:space="preserve"> submit full</w:t>
      </w:r>
      <w:r w:rsidR="00574AF1">
        <w:t>y inclusive</w:t>
      </w:r>
      <w:r w:rsidR="0012266E">
        <w:t xml:space="preserve"> da</w:t>
      </w:r>
      <w:r w:rsidR="00574AF1">
        <w:t>y</w:t>
      </w:r>
      <w:r w:rsidR="0012266E">
        <w:t xml:space="preserve"> rates for a standard set of roles/grades in the </w:t>
      </w:r>
      <w:r w:rsidR="009C106B">
        <w:t xml:space="preserve">Rate Card (Annex </w:t>
      </w:r>
      <w:r w:rsidR="004C1136">
        <w:t>G)</w:t>
      </w:r>
      <w:r w:rsidR="00D216DC">
        <w:t>, multiplied by a set number of days</w:t>
      </w:r>
      <w:r w:rsidR="00AD760B">
        <w:t xml:space="preserve"> </w:t>
      </w:r>
      <w:r w:rsidR="00CF2413">
        <w:t>representing</w:t>
      </w:r>
      <w:r w:rsidR="00F71BF1">
        <w:t xml:space="preserve"> time spent on</w:t>
      </w:r>
      <w:r w:rsidR="00CF2413">
        <w:t xml:space="preserve"> a hypothetical project</w:t>
      </w:r>
    </w:p>
    <w:p w14:paraId="6B21A33F" w14:textId="6AEC53F6" w:rsidR="00856379" w:rsidRPr="004C1136" w:rsidRDefault="004C1136" w:rsidP="00AA0F4D">
      <w:pPr>
        <w:pStyle w:val="Level2"/>
        <w:numPr>
          <w:ilvl w:val="0"/>
          <w:numId w:val="79"/>
        </w:numPr>
        <w:ind w:left="993"/>
      </w:pPr>
      <w:r>
        <w:t>The Trust</w:t>
      </w:r>
      <w:r w:rsidR="0012266E">
        <w:t xml:space="preserve"> will use </w:t>
      </w:r>
      <w:r w:rsidR="00DA33AB">
        <w:t>the average</w:t>
      </w:r>
      <w:r w:rsidR="00C24EAC">
        <w:t xml:space="preserve"> cost</w:t>
      </w:r>
      <w:r w:rsidR="004A2CF7">
        <w:t xml:space="preserve"> across the team</w:t>
      </w:r>
      <w:r w:rsidR="006B2DAD">
        <w:t xml:space="preserve"> for each bidder as the amount to be scored in the Commercial section</w:t>
      </w:r>
    </w:p>
    <w:p w14:paraId="3E371CF8" w14:textId="77777777" w:rsidR="00880FDC" w:rsidRDefault="007C52C5" w:rsidP="00AA0F4D">
      <w:pPr>
        <w:pStyle w:val="Level2"/>
        <w:numPr>
          <w:ilvl w:val="1"/>
          <w:numId w:val="24"/>
        </w:numPr>
      </w:pPr>
      <w:r>
        <w:t>This approach is intended to:</w:t>
      </w:r>
    </w:p>
    <w:p w14:paraId="132FE228" w14:textId="77777777" w:rsidR="00127EE1" w:rsidRDefault="007C52C5" w:rsidP="00AA0F4D">
      <w:pPr>
        <w:pStyle w:val="Level2"/>
        <w:numPr>
          <w:ilvl w:val="2"/>
          <w:numId w:val="24"/>
        </w:numPr>
      </w:pPr>
      <w:r>
        <w:t>Enable a fair and transparent comparison of tenders on a like-for-like basis</w:t>
      </w:r>
    </w:p>
    <w:p w14:paraId="472ABDDB" w14:textId="77777777" w:rsidR="003F74DC" w:rsidRDefault="007C52C5" w:rsidP="00AA0F4D">
      <w:pPr>
        <w:pStyle w:val="Level2"/>
        <w:numPr>
          <w:ilvl w:val="2"/>
          <w:numId w:val="24"/>
        </w:numPr>
      </w:pPr>
      <w:r>
        <w:lastRenderedPageBreak/>
        <w:t>Reflect the fact that future Call-Offs will involve different mixes of roles and durations</w:t>
      </w:r>
    </w:p>
    <w:p w14:paraId="58D71E4B" w14:textId="79FBCE4D" w:rsidR="003F74DC" w:rsidRDefault="007C52C5" w:rsidP="00AA0F4D">
      <w:pPr>
        <w:pStyle w:val="Level2"/>
        <w:numPr>
          <w:ilvl w:val="2"/>
          <w:numId w:val="24"/>
        </w:numPr>
      </w:pPr>
      <w:r>
        <w:t xml:space="preserve">Ensure that Framework rates are competitive and represent value for money for the </w:t>
      </w:r>
      <w:r w:rsidR="00874FA1">
        <w:t>Trust</w:t>
      </w:r>
    </w:p>
    <w:p w14:paraId="693B4D8D" w14:textId="0BE25DDC" w:rsidR="002C0D70" w:rsidRPr="003F74DC" w:rsidRDefault="002C0D70" w:rsidP="00AA0F4D">
      <w:pPr>
        <w:pStyle w:val="Level2"/>
        <w:numPr>
          <w:ilvl w:val="1"/>
          <w:numId w:val="24"/>
        </w:numPr>
      </w:pPr>
      <w:r w:rsidRPr="00F51C16">
        <w:t xml:space="preserve">The </w:t>
      </w:r>
      <w:r w:rsidR="0030084D" w:rsidRPr="00F51C16">
        <w:t>Rate Card</w:t>
      </w:r>
      <w:r w:rsidRPr="00F51C16">
        <w:t xml:space="preserve"> provided at A</w:t>
      </w:r>
      <w:r w:rsidR="00322FD6">
        <w:t>ppendix</w:t>
      </w:r>
      <w:r w:rsidR="000A493A" w:rsidRPr="00F51C16">
        <w:t xml:space="preserve"> G</w:t>
      </w:r>
      <w:r w:rsidRPr="00F51C16">
        <w:t xml:space="preserve"> </w:t>
      </w:r>
      <w:r w:rsidR="00573AA3" w:rsidRPr="00F51C16">
        <w:t>must</w:t>
      </w:r>
      <w:r w:rsidRPr="00F51C16">
        <w:t xml:space="preserve"> be completed as requested. </w:t>
      </w:r>
      <w:r w:rsidR="00124830" w:rsidRPr="00F51C16">
        <w:t xml:space="preserve">Not all roles will be applicable </w:t>
      </w:r>
      <w:r w:rsidR="0030084D" w:rsidRPr="00F51C16">
        <w:t>for every bidder/team</w:t>
      </w:r>
      <w:r w:rsidR="00167464" w:rsidRPr="00F51C16">
        <w:t xml:space="preserve">. </w:t>
      </w:r>
      <w:r w:rsidRPr="00F51C16">
        <w:t xml:space="preserve">Not </w:t>
      </w:r>
      <w:r w:rsidR="003125FF" w:rsidRPr="00F51C16">
        <w:t xml:space="preserve">completing the Commercial </w:t>
      </w:r>
      <w:r w:rsidR="00084C20" w:rsidRPr="00F51C16">
        <w:t xml:space="preserve">criterial </w:t>
      </w:r>
      <w:r w:rsidR="001A61A1" w:rsidRPr="00F51C16">
        <w:t>will mean that the bidder w</w:t>
      </w:r>
      <w:r w:rsidR="001A1CBA" w:rsidRPr="00F51C16">
        <w:t>ould</w:t>
      </w:r>
      <w:r w:rsidR="001A61A1" w:rsidRPr="00F51C16">
        <w:t xml:space="preserve"> lose up to 10%</w:t>
      </w:r>
      <w:r w:rsidR="005F1A7B" w:rsidRPr="00F51C16">
        <w:t xml:space="preserve"> of the total score available</w:t>
      </w:r>
      <w:r w:rsidR="001A1CBA" w:rsidRPr="00F51C16">
        <w:t xml:space="preserve"> during assessment</w:t>
      </w:r>
      <w:r w:rsidR="00E85131" w:rsidRPr="00F51C16">
        <w:t xml:space="preserve">, and </w:t>
      </w:r>
      <w:r w:rsidRPr="00F51C16">
        <w:t xml:space="preserve">your bid </w:t>
      </w:r>
      <w:r w:rsidR="00E85131" w:rsidRPr="00F51C16">
        <w:t>may be</w:t>
      </w:r>
      <w:r w:rsidRPr="00F51C16">
        <w:t xml:space="preserve"> excluded as non-compliant. At its sole discretion the </w:t>
      </w:r>
      <w:r w:rsidR="00C61865" w:rsidRPr="00F51C16">
        <w:t>Trust</w:t>
      </w:r>
      <w:r w:rsidRPr="00F51C16">
        <w:t xml:space="preserve"> may clarify any discrepancies with Suppliers.</w:t>
      </w:r>
    </w:p>
    <w:p w14:paraId="231B16AE" w14:textId="538E1BB8" w:rsidR="002C0D70" w:rsidRPr="00F51C16" w:rsidRDefault="002C0D70" w:rsidP="00AA0F4D">
      <w:pPr>
        <w:pStyle w:val="Level2"/>
        <w:numPr>
          <w:ilvl w:val="1"/>
          <w:numId w:val="24"/>
        </w:numPr>
      </w:pPr>
      <w:r w:rsidRPr="00F51C16">
        <w:t>All prices must be submitted in £GBP</w:t>
      </w:r>
      <w:r w:rsidR="00626587" w:rsidRPr="00F51C16">
        <w:t xml:space="preserve"> (</w:t>
      </w:r>
      <w:r w:rsidRPr="00F51C16">
        <w:t>excluding VAT</w:t>
      </w:r>
      <w:r w:rsidR="00626587" w:rsidRPr="00F51C16">
        <w:t xml:space="preserve">, </w:t>
      </w:r>
      <w:r w:rsidRPr="00F51C16">
        <w:t>if any).</w:t>
      </w:r>
    </w:p>
    <w:p w14:paraId="6141DFBC" w14:textId="67548C97" w:rsidR="002C0D70" w:rsidRPr="00F51C16" w:rsidRDefault="002C0D70" w:rsidP="00AA0F4D">
      <w:pPr>
        <w:pStyle w:val="Level2"/>
        <w:numPr>
          <w:ilvl w:val="1"/>
          <w:numId w:val="24"/>
        </w:numPr>
      </w:pPr>
      <w:r w:rsidRPr="00F51C16">
        <w:t>The</w:t>
      </w:r>
      <w:r w:rsidR="00CD421F" w:rsidRPr="00F51C16">
        <w:t xml:space="preserve"> </w:t>
      </w:r>
      <w:r w:rsidR="002C465E" w:rsidRPr="00F51C16">
        <w:t>Rate Card</w:t>
      </w:r>
      <w:r w:rsidR="00AE705A" w:rsidRPr="00F51C16">
        <w:t xml:space="preserve"> calculates the day rates for each</w:t>
      </w:r>
      <w:r w:rsidR="008070A2" w:rsidRPr="00F51C16">
        <w:t xml:space="preserve"> member of the team across a total number of days</w:t>
      </w:r>
      <w:r w:rsidR="000A511F" w:rsidRPr="00F51C16">
        <w:t xml:space="preserve"> </w:t>
      </w:r>
      <w:r w:rsidR="002E22B4" w:rsidRPr="00F51C16">
        <w:t xml:space="preserve">working on </w:t>
      </w:r>
      <w:r w:rsidR="000A511F" w:rsidRPr="00F51C16">
        <w:t>a hypothetical project</w:t>
      </w:r>
      <w:r w:rsidR="009A2BE8" w:rsidRPr="00F51C16">
        <w:t>. As not all of these role</w:t>
      </w:r>
      <w:r w:rsidR="00636547" w:rsidRPr="00F51C16">
        <w:t>s will be relevant</w:t>
      </w:r>
      <w:r w:rsidR="000D25C7" w:rsidRPr="00F51C16">
        <w:t xml:space="preserve"> for every bidder</w:t>
      </w:r>
      <w:r w:rsidR="000D0D56" w:rsidRPr="00F51C16">
        <w:t>, the ave</w:t>
      </w:r>
      <w:r w:rsidR="002A3A9F" w:rsidRPr="00F51C16">
        <w:t>rage</w:t>
      </w:r>
      <w:r w:rsidR="00A350F2" w:rsidRPr="00F51C16">
        <w:t xml:space="preserve"> cost across the team (total overall cost ÷ number of members in the team) will be used to score the commercial criteria</w:t>
      </w:r>
      <w:r w:rsidR="008B4542" w:rsidRPr="00F51C16">
        <w:t>.</w:t>
      </w:r>
    </w:p>
    <w:p w14:paraId="71493D97" w14:textId="77777777" w:rsidR="002C0D70" w:rsidRPr="00F51C16" w:rsidRDefault="002C0D70" w:rsidP="00AA0F4D">
      <w:pPr>
        <w:pStyle w:val="Level2"/>
        <w:numPr>
          <w:ilvl w:val="1"/>
          <w:numId w:val="24"/>
        </w:numPr>
      </w:pPr>
      <w:r w:rsidRPr="00F51C16">
        <w:t>The commercial evaluation team will apply the following mathematical formulae to the Commercial Criteria then sum these to calculate the overall commercial total score.</w:t>
      </w:r>
    </w:p>
    <w:p w14:paraId="21CCAC3D" w14:textId="77777777" w:rsidR="002C0D70" w:rsidRPr="00F51C16" w:rsidRDefault="002C0D70" w:rsidP="002C0D70">
      <w:pPr>
        <w:pStyle w:val="Level2"/>
        <w:numPr>
          <w:ilvl w:val="0"/>
          <w:numId w:val="0"/>
        </w:numPr>
        <w:ind w:left="720"/>
      </w:pPr>
      <w:r w:rsidRPr="00F51C16">
        <w:rPr>
          <w:b/>
          <w:i/>
        </w:rPr>
        <w:t xml:space="preserve">[Price Element Score] = </w:t>
      </w:r>
    </w:p>
    <w:p w14:paraId="43F866AB" w14:textId="41546577" w:rsidR="002C0D70" w:rsidRPr="00F51C16" w:rsidRDefault="002C0D70" w:rsidP="002C0D70">
      <w:pPr>
        <w:pStyle w:val="Level2"/>
        <w:numPr>
          <w:ilvl w:val="0"/>
          <w:numId w:val="0"/>
        </w:numPr>
        <w:ind w:left="720"/>
      </w:pPr>
      <w:r w:rsidRPr="00F51C16">
        <w:rPr>
          <w:b/>
          <w:i/>
        </w:rPr>
        <w:t xml:space="preserve">(Lowest Bidder’s </w:t>
      </w:r>
      <w:r w:rsidR="000C6FCC" w:rsidRPr="00F51C16">
        <w:rPr>
          <w:b/>
          <w:bCs/>
          <w:i/>
          <w:iCs/>
        </w:rPr>
        <w:t>Average Cost</w:t>
      </w:r>
      <w:r w:rsidRPr="00F51C16">
        <w:rPr>
          <w:b/>
          <w:i/>
        </w:rPr>
        <w:t xml:space="preserve">) / (Bidder’s </w:t>
      </w:r>
      <w:r w:rsidR="000C6FCC" w:rsidRPr="00F51C16">
        <w:rPr>
          <w:b/>
          <w:bCs/>
          <w:i/>
          <w:iCs/>
        </w:rPr>
        <w:t>Average Cost</w:t>
      </w:r>
      <w:r w:rsidRPr="00F51C16">
        <w:rPr>
          <w:b/>
          <w:i/>
        </w:rPr>
        <w:t>)</w:t>
      </w:r>
    </w:p>
    <w:p w14:paraId="2B87850A" w14:textId="3BF8536B" w:rsidR="002C0D70" w:rsidRPr="00F51C16" w:rsidRDefault="002C0D70" w:rsidP="002C0D70">
      <w:pPr>
        <w:pStyle w:val="Level2"/>
        <w:numPr>
          <w:ilvl w:val="0"/>
          <w:numId w:val="0"/>
        </w:numPr>
        <w:ind w:left="720"/>
      </w:pPr>
      <w:r w:rsidRPr="00F51C16">
        <w:rPr>
          <w:b/>
          <w:i/>
        </w:rPr>
        <w:t>X [</w:t>
      </w:r>
      <w:r w:rsidR="000C6FCC" w:rsidRPr="00F51C16">
        <w:rPr>
          <w:b/>
          <w:bCs/>
          <w:i/>
          <w:iCs/>
        </w:rPr>
        <w:t>Average Cost</w:t>
      </w:r>
      <w:r w:rsidRPr="00F51C16">
        <w:rPr>
          <w:b/>
          <w:i/>
        </w:rPr>
        <w:t xml:space="preserve"> Weighting] </w:t>
      </w:r>
    </w:p>
    <w:p w14:paraId="09079F16" w14:textId="1A3453AE" w:rsidR="002C0D70" w:rsidRPr="00F51C16" w:rsidRDefault="002C0D70" w:rsidP="002C0D70">
      <w:pPr>
        <w:pStyle w:val="Level2"/>
        <w:numPr>
          <w:ilvl w:val="0"/>
          <w:numId w:val="0"/>
        </w:numPr>
        <w:ind w:left="720"/>
      </w:pPr>
      <w:r w:rsidRPr="00F51C16">
        <w:rPr>
          <w:b/>
          <w:i/>
        </w:rPr>
        <w:t xml:space="preserve">For example, if Bidder A’s </w:t>
      </w:r>
      <w:r w:rsidR="000C6FCC" w:rsidRPr="00F51C16">
        <w:rPr>
          <w:b/>
          <w:bCs/>
          <w:i/>
          <w:iCs/>
        </w:rPr>
        <w:t>Average Cost</w:t>
      </w:r>
      <w:r w:rsidRPr="00F51C16">
        <w:rPr>
          <w:b/>
          <w:i/>
        </w:rPr>
        <w:t xml:space="preserve"> is £10,000, which is the lowest Bidder </w:t>
      </w:r>
      <w:r w:rsidR="00D82B5A" w:rsidRPr="00F51C16">
        <w:rPr>
          <w:b/>
          <w:bCs/>
          <w:i/>
          <w:iCs/>
        </w:rPr>
        <w:t>Average Cost</w:t>
      </w:r>
      <w:r w:rsidRPr="00F51C16">
        <w:rPr>
          <w:b/>
          <w:i/>
        </w:rPr>
        <w:t xml:space="preserve">, and Bidder B’s </w:t>
      </w:r>
      <w:r w:rsidR="00D82B5A" w:rsidRPr="00F51C16">
        <w:rPr>
          <w:b/>
          <w:bCs/>
          <w:i/>
          <w:iCs/>
        </w:rPr>
        <w:t>Average Cost</w:t>
      </w:r>
      <w:r w:rsidRPr="00F51C16">
        <w:rPr>
          <w:b/>
          <w:i/>
        </w:rPr>
        <w:t xml:space="preserve"> is £20,000 and </w:t>
      </w:r>
      <w:r w:rsidR="00DC1470" w:rsidRPr="00F51C16">
        <w:rPr>
          <w:b/>
          <w:bCs/>
          <w:i/>
          <w:iCs/>
        </w:rPr>
        <w:t>Average Cost (</w:t>
      </w:r>
      <w:r w:rsidR="00DE78A1" w:rsidRPr="00F51C16">
        <w:rPr>
          <w:b/>
          <w:bCs/>
          <w:i/>
          <w:iCs/>
        </w:rPr>
        <w:t>Commercial)</w:t>
      </w:r>
      <w:r w:rsidRPr="00F51C16">
        <w:rPr>
          <w:b/>
          <w:i/>
        </w:rPr>
        <w:t xml:space="preserve"> has a weighting of </w:t>
      </w:r>
      <w:r w:rsidR="00DE78A1" w:rsidRPr="00F51C16">
        <w:rPr>
          <w:b/>
          <w:bCs/>
          <w:i/>
          <w:iCs/>
        </w:rPr>
        <w:t>1</w:t>
      </w:r>
      <w:r w:rsidRPr="00F51C16">
        <w:rPr>
          <w:b/>
          <w:bCs/>
          <w:i/>
          <w:iCs/>
        </w:rPr>
        <w:t>0</w:t>
      </w:r>
      <w:r w:rsidRPr="00F51C16">
        <w:rPr>
          <w:b/>
          <w:i/>
        </w:rPr>
        <w:t>%:</w:t>
      </w:r>
    </w:p>
    <w:p w14:paraId="046EC94A" w14:textId="0FDBC615" w:rsidR="002C0D70" w:rsidRPr="00F51C16" w:rsidRDefault="002C0D70" w:rsidP="002C0D70">
      <w:pPr>
        <w:pStyle w:val="Level2"/>
        <w:numPr>
          <w:ilvl w:val="0"/>
          <w:numId w:val="0"/>
        </w:numPr>
        <w:ind w:left="720"/>
      </w:pPr>
      <w:r w:rsidRPr="00F51C16">
        <w:rPr>
          <w:b/>
          <w:i/>
        </w:rPr>
        <w:t xml:space="preserve">(a)    Bidder A scores </w:t>
      </w:r>
      <w:r w:rsidR="00C35E09" w:rsidRPr="00F51C16">
        <w:rPr>
          <w:b/>
          <w:bCs/>
          <w:i/>
          <w:iCs/>
        </w:rPr>
        <w:t>1</w:t>
      </w:r>
      <w:r w:rsidRPr="00F51C16">
        <w:rPr>
          <w:b/>
          <w:bCs/>
          <w:i/>
          <w:iCs/>
        </w:rPr>
        <w:t>0</w:t>
      </w:r>
      <w:r w:rsidRPr="00F51C16">
        <w:rPr>
          <w:b/>
          <w:i/>
        </w:rPr>
        <w:t xml:space="preserve">%; and </w:t>
      </w:r>
    </w:p>
    <w:p w14:paraId="292CDB80" w14:textId="0EA09F3B" w:rsidR="002C0D70" w:rsidRPr="00F51C16" w:rsidRDefault="002C0D70" w:rsidP="002C0D70">
      <w:pPr>
        <w:pStyle w:val="Level2"/>
        <w:numPr>
          <w:ilvl w:val="0"/>
          <w:numId w:val="0"/>
        </w:numPr>
        <w:ind w:left="720"/>
      </w:pPr>
      <w:r w:rsidRPr="00F51C16">
        <w:rPr>
          <w:b/>
          <w:i/>
        </w:rPr>
        <w:t xml:space="preserve">(b)    Bidder B scores </w:t>
      </w:r>
      <w:r w:rsidR="00C35E09" w:rsidRPr="00F51C16">
        <w:rPr>
          <w:b/>
          <w:bCs/>
          <w:i/>
          <w:iCs/>
        </w:rPr>
        <w:t>5</w:t>
      </w:r>
      <w:r w:rsidRPr="00F51C16">
        <w:rPr>
          <w:b/>
          <w:i/>
        </w:rPr>
        <w:t xml:space="preserve">%, being </w:t>
      </w:r>
    </w:p>
    <w:p w14:paraId="38ED7925" w14:textId="7E2545E0" w:rsidR="002C0D70" w:rsidRPr="00F51C16" w:rsidRDefault="002C0D70" w:rsidP="002C0D70">
      <w:pPr>
        <w:pStyle w:val="Level2"/>
        <w:numPr>
          <w:ilvl w:val="0"/>
          <w:numId w:val="0"/>
        </w:numPr>
        <w:ind w:left="720"/>
      </w:pPr>
      <w:r w:rsidRPr="00F51C16">
        <w:rPr>
          <w:b/>
          <w:i/>
        </w:rPr>
        <w:t>(10,000 / 20,000) X 10</w:t>
      </w:r>
      <w:r w:rsidRPr="00F51C16">
        <w:rPr>
          <w:b/>
          <w:bCs/>
          <w:i/>
          <w:iCs/>
        </w:rPr>
        <w:t xml:space="preserve"> = </w:t>
      </w:r>
      <w:r w:rsidR="00715BDF" w:rsidRPr="00F51C16">
        <w:rPr>
          <w:b/>
          <w:bCs/>
          <w:i/>
          <w:iCs/>
        </w:rPr>
        <w:t>5</w:t>
      </w:r>
    </w:p>
    <w:p w14:paraId="752BE93E" w14:textId="7E89B346" w:rsidR="002C0D70" w:rsidRPr="00F51C16" w:rsidRDefault="002C0D70" w:rsidP="00AA0F4D">
      <w:pPr>
        <w:pStyle w:val="Level2"/>
        <w:numPr>
          <w:ilvl w:val="1"/>
          <w:numId w:val="24"/>
        </w:numPr>
      </w:pPr>
      <w:r w:rsidRPr="00F51C16">
        <w:t xml:space="preserve">If a Tender, or an element of the Tender, </w:t>
      </w:r>
      <w:r w:rsidR="00645B0C" w:rsidRPr="00F51C16">
        <w:t>includes costings</w:t>
      </w:r>
      <w:r w:rsidRPr="00F51C16">
        <w:t xml:space="preserve"> that the </w:t>
      </w:r>
      <w:r w:rsidR="00C61865" w:rsidRPr="00F51C16">
        <w:t>Trust</w:t>
      </w:r>
      <w:r w:rsidRPr="00F51C16">
        <w:t xml:space="preserve"> considers to be abnormally low, the </w:t>
      </w:r>
      <w:r w:rsidR="00C61865" w:rsidRPr="00F51C16">
        <w:t>Trust</w:t>
      </w:r>
      <w:r w:rsidRPr="00F51C16">
        <w:t xml:space="preserve"> shall notify the Supplier that the </w:t>
      </w:r>
      <w:r w:rsidR="00C61865" w:rsidRPr="00F51C16">
        <w:t>Trust</w:t>
      </w:r>
      <w:r w:rsidRPr="00F51C16">
        <w:t xml:space="preserve"> considers the </w:t>
      </w:r>
      <w:r w:rsidR="00645B0C" w:rsidRPr="00F51C16">
        <w:t>costings</w:t>
      </w:r>
      <w:r w:rsidRPr="00F51C16">
        <w:t xml:space="preserve"> to be abnormally low, and give the Supplier reasonable opportunity to demonstrate that it will be able to perform </w:t>
      </w:r>
      <w:r w:rsidR="0063677C" w:rsidRPr="00F51C16">
        <w:t>any future Call-Offs</w:t>
      </w:r>
      <w:r w:rsidRPr="00F51C16">
        <w:t xml:space="preserve"> for the </w:t>
      </w:r>
      <w:r w:rsidR="00807208" w:rsidRPr="00F51C16">
        <w:t>rates</w:t>
      </w:r>
      <w:r w:rsidR="00804283" w:rsidRPr="00F51C16">
        <w:t xml:space="preserve"> provided</w:t>
      </w:r>
      <w:r w:rsidRPr="00F51C16">
        <w:t xml:space="preserve">. Should the evidence supplied in response to this request fail to demonstrate to the </w:t>
      </w:r>
      <w:r w:rsidR="00C61865" w:rsidRPr="00F51C16">
        <w:t>Trust’s</w:t>
      </w:r>
      <w:r w:rsidRPr="00F51C16">
        <w:t xml:space="preserve"> satisfaction that the Supplier is expected to be able to perform </w:t>
      </w:r>
      <w:r w:rsidR="00804283" w:rsidRPr="00F51C16">
        <w:t>future Call-Offs</w:t>
      </w:r>
      <w:r w:rsidRPr="00F51C16">
        <w:t xml:space="preserve"> for the </w:t>
      </w:r>
      <w:r w:rsidR="00D10FB6" w:rsidRPr="00F51C16">
        <w:t>rates</w:t>
      </w:r>
      <w:r w:rsidRPr="00F51C16">
        <w:t xml:space="preserve"> offered, the </w:t>
      </w:r>
      <w:r w:rsidR="00C61865" w:rsidRPr="00F51C16">
        <w:t>Trust</w:t>
      </w:r>
      <w:r w:rsidRPr="00F51C16">
        <w:t xml:space="preserve"> may disregard the Tender for being abnormally low and disqualify the Supplier from the Procurement.</w:t>
      </w:r>
    </w:p>
    <w:p w14:paraId="0FA3ED0A" w14:textId="4DE735D6" w:rsidR="002C0D70" w:rsidRDefault="002C0D70" w:rsidP="001B3144">
      <w:pPr>
        <w:pStyle w:val="Level1Heading"/>
        <w:outlineLvl w:val="9"/>
      </w:pPr>
      <w:r>
        <w:t xml:space="preserve">Concluding the Evaluation </w:t>
      </w:r>
    </w:p>
    <w:p w14:paraId="015DD419" w14:textId="0E631EEB" w:rsidR="002C0D70" w:rsidRPr="002C0D70" w:rsidRDefault="002C0D70" w:rsidP="00D32700">
      <w:pPr>
        <w:pStyle w:val="Level2"/>
      </w:pPr>
      <w:r w:rsidRPr="002C0D70">
        <w:t xml:space="preserve">Following the completion of the evaluation the </w:t>
      </w:r>
      <w:r w:rsidR="00C61865">
        <w:t>Trust</w:t>
      </w:r>
      <w:r w:rsidRPr="002C0D70">
        <w:t xml:space="preserve"> expects to be able to offer the Contract to the Supplier</w:t>
      </w:r>
      <w:r w:rsidR="00D32700">
        <w:t>s</w:t>
      </w:r>
      <w:r w:rsidRPr="002C0D70">
        <w:t xml:space="preserve"> who achieve the highest combined Technical and </w:t>
      </w:r>
      <w:r w:rsidRPr="00F51C16">
        <w:t>Commercial score</w:t>
      </w:r>
      <w:r w:rsidR="00D32700" w:rsidRPr="00F51C16">
        <w:t>s</w:t>
      </w:r>
      <w:r w:rsidRPr="002C0D70">
        <w:t xml:space="preserve">. </w:t>
      </w:r>
      <w:r w:rsidR="00D32700">
        <w:t>See Section 4 (Overview of the Trust’s requirements) of this ITT on the number of Suppliers that will be appointed to the framework.</w:t>
      </w:r>
    </w:p>
    <w:p w14:paraId="079E8120" w14:textId="3931E754" w:rsidR="002C0D70" w:rsidRPr="002C0D70" w:rsidRDefault="002C0D70" w:rsidP="00AF0DFE">
      <w:pPr>
        <w:pStyle w:val="Level2"/>
      </w:pPr>
      <w:r w:rsidRPr="002C0D70">
        <w:t>In the event that the highest combined Technical</w:t>
      </w:r>
      <w:r w:rsidR="005B4BFF">
        <w:t xml:space="preserve"> </w:t>
      </w:r>
      <w:r w:rsidRPr="002C0D70">
        <w:t xml:space="preserve">and Commercial Score results in a tie, the Contract will be offered to the Supplier who achieves the highest overall score for </w:t>
      </w:r>
      <w:r w:rsidR="00021BD3" w:rsidRPr="00F51C16">
        <w:t>Technical questions 1 and 2</w:t>
      </w:r>
      <w:r w:rsidRPr="00F51C16">
        <w:t>.</w:t>
      </w:r>
      <w:r w:rsidRPr="002C0D70">
        <w:t xml:space="preserve">  </w:t>
      </w:r>
    </w:p>
    <w:p w14:paraId="7C0512D3" w14:textId="199632DA" w:rsidR="002C0D70" w:rsidRPr="001B5D03" w:rsidRDefault="002C0D70" w:rsidP="001B5D03">
      <w:pPr>
        <w:pStyle w:val="Level2"/>
      </w:pPr>
      <w:r w:rsidRPr="002C0D70">
        <w:t xml:space="preserve">In the event that </w:t>
      </w:r>
      <w:r w:rsidR="00D32700">
        <w:t>a successful</w:t>
      </w:r>
      <w:r w:rsidRPr="002C0D70">
        <w:t xml:space="preserve"> Supplier declines to enter into the Contract, the </w:t>
      </w:r>
      <w:r w:rsidR="00C61865">
        <w:t>Trust</w:t>
      </w:r>
      <w:r w:rsidRPr="002C0D70">
        <w:t xml:space="preserve"> may choose to proceed to Contract award with the next highest scoring Supplier. </w:t>
      </w:r>
    </w:p>
    <w:p w14:paraId="342590F0" w14:textId="38305507" w:rsidR="002C0D70" w:rsidRPr="00E5488A" w:rsidRDefault="002C0D70" w:rsidP="002C0D70">
      <w:pPr>
        <w:pStyle w:val="Level1Heading"/>
        <w:numPr>
          <w:ilvl w:val="0"/>
          <w:numId w:val="0"/>
        </w:numPr>
        <w:jc w:val="center"/>
      </w:pPr>
      <w:bookmarkStart w:id="12" w:name="_Toc197441910"/>
      <w:r>
        <w:lastRenderedPageBreak/>
        <w:t>APPENDIX A</w:t>
      </w:r>
      <w:r w:rsidRPr="00E5488A">
        <w:t xml:space="preserve"> </w:t>
      </w:r>
      <w:r>
        <w:t>–</w:t>
      </w:r>
      <w:r w:rsidRPr="00E5488A">
        <w:t xml:space="preserve"> </w:t>
      </w:r>
      <w:r>
        <w:t>PROCUREMENT TERMS AND CONDITIONS</w:t>
      </w:r>
      <w:bookmarkEnd w:id="12"/>
    </w:p>
    <w:p w14:paraId="5392DDE4" w14:textId="77777777" w:rsidR="002C0D70" w:rsidRPr="002C0D70" w:rsidRDefault="002C0D70" w:rsidP="002C0D70">
      <w:pPr>
        <w:pStyle w:val="Level2"/>
        <w:numPr>
          <w:ilvl w:val="0"/>
          <w:numId w:val="0"/>
        </w:numPr>
        <w:ind w:left="720" w:hanging="720"/>
        <w:rPr>
          <w:b/>
        </w:rPr>
      </w:pPr>
      <w:r w:rsidRPr="002C0D70">
        <w:rPr>
          <w:b/>
        </w:rPr>
        <w:t>Procedural requirements</w:t>
      </w:r>
    </w:p>
    <w:p w14:paraId="2F1471B8" w14:textId="12872E34" w:rsidR="002C0D70" w:rsidRDefault="002C0D70" w:rsidP="00AA0F4D">
      <w:pPr>
        <w:pStyle w:val="Level2"/>
        <w:numPr>
          <w:ilvl w:val="1"/>
          <w:numId w:val="29"/>
        </w:numPr>
      </w:pPr>
      <w:r w:rsidRPr="002C0D70">
        <w:t xml:space="preserve">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w:t>
      </w:r>
      <w:r w:rsidR="00C61865">
        <w:t>Trust’s</w:t>
      </w:r>
      <w:r w:rsidRPr="002C0D70">
        <w:t xml:space="preserve"> sole discretion.</w:t>
      </w:r>
    </w:p>
    <w:p w14:paraId="47901934" w14:textId="77777777" w:rsidR="002C0D70" w:rsidRDefault="002C0D70" w:rsidP="002C0D70">
      <w:pPr>
        <w:pStyle w:val="Level2"/>
        <w:numPr>
          <w:ilvl w:val="0"/>
          <w:numId w:val="0"/>
        </w:numPr>
      </w:pPr>
      <w:r w:rsidRPr="002C0D70">
        <w:rPr>
          <w:b/>
        </w:rPr>
        <w:t>Central Digital Platform</w:t>
      </w:r>
    </w:p>
    <w:p w14:paraId="7E335E01" w14:textId="53BDB1EC" w:rsidR="002C0D70" w:rsidRDefault="002C0D70" w:rsidP="00AA0F4D">
      <w:pPr>
        <w:pStyle w:val="Level2"/>
        <w:numPr>
          <w:ilvl w:val="1"/>
          <w:numId w:val="29"/>
        </w:numPr>
      </w:pPr>
      <w:r w:rsidRPr="002C0D70">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w:t>
      </w:r>
      <w:r w:rsidR="00C61865">
        <w:t>Trust</w:t>
      </w:r>
      <w:r w:rsidRPr="002C0D70">
        <w:t xml:space="preserve"> immediately if it is unable to register on the Central Digital Platform and/or provide accurate and up-to-date information via the Central Digital Platform. </w:t>
      </w:r>
    </w:p>
    <w:p w14:paraId="095E4EDC" w14:textId="77777777" w:rsidR="002C0D70" w:rsidRDefault="002C0D70" w:rsidP="002C0D70">
      <w:pPr>
        <w:pStyle w:val="Level2"/>
        <w:numPr>
          <w:ilvl w:val="0"/>
          <w:numId w:val="0"/>
        </w:numPr>
      </w:pPr>
      <w:r w:rsidRPr="002C0D70">
        <w:rPr>
          <w:b/>
        </w:rPr>
        <w:t>Transparency</w:t>
      </w:r>
    </w:p>
    <w:p w14:paraId="187B2C47" w14:textId="064DB25C" w:rsidR="002C0D70" w:rsidRDefault="002C0D70" w:rsidP="00AA0F4D">
      <w:pPr>
        <w:pStyle w:val="Level2"/>
        <w:numPr>
          <w:ilvl w:val="1"/>
          <w:numId w:val="29"/>
        </w:numPr>
      </w:pPr>
      <w:r w:rsidRPr="002C0D70">
        <w:t xml:space="preserve">Suppliers should note that, in accordance with general transparency obligations and procurement law obligations under the Act, the </w:t>
      </w:r>
      <w:r w:rsidR="00C61865">
        <w:t>Trust</w:t>
      </w:r>
      <w:r w:rsidRPr="002C0D70">
        <w:t xml:space="preserve"> routinely publishes details of its procurement processes and awarded contracts. This includes, but is not limited to, the contract value, the identity of the successful Supplier, compliance with payment obligations and contract performance. In certain circumstances this includes information on who has submitted a Tender, even where that Tender has been unsuccessful or where a Supplier has withdrawn from a procurement process. By submitting a Tender you acknowledge the requirements of the Act and consent to the publication of such information about you and your Tender as the </w:t>
      </w:r>
      <w:r w:rsidR="00C61865">
        <w:t>Trust</w:t>
      </w:r>
      <w:r w:rsidRPr="002C0D70">
        <w:t xml:space="preserve"> considers is necessary to comply with its statutory obligations. </w:t>
      </w:r>
    </w:p>
    <w:p w14:paraId="432AF104" w14:textId="723BB2A8" w:rsidR="002C0D70" w:rsidRDefault="002C0D70" w:rsidP="00AA0F4D">
      <w:pPr>
        <w:pStyle w:val="Level2"/>
        <w:numPr>
          <w:ilvl w:val="1"/>
          <w:numId w:val="29"/>
        </w:numPr>
      </w:pPr>
      <w:r w:rsidRPr="002C0D70">
        <w:t xml:space="preserve">Where required under the Act, a copy of the </w:t>
      </w:r>
      <w:r w:rsidR="00D32700">
        <w:t>C</w:t>
      </w:r>
      <w:r w:rsidRPr="002C0D70">
        <w:t xml:space="preserve">ontract will be published (subject to making any reasonable and proportionate redactions permitted under the Act). </w:t>
      </w:r>
    </w:p>
    <w:p w14:paraId="5D5E6E42" w14:textId="77777777" w:rsidR="002C0D70" w:rsidRDefault="002C0D70" w:rsidP="002C0D70">
      <w:pPr>
        <w:pStyle w:val="Level2"/>
        <w:numPr>
          <w:ilvl w:val="0"/>
          <w:numId w:val="0"/>
        </w:numPr>
      </w:pPr>
      <w:r w:rsidRPr="002C0D70">
        <w:rPr>
          <w:b/>
        </w:rPr>
        <w:t>Modifying and Cancelling the Procurement</w:t>
      </w:r>
    </w:p>
    <w:p w14:paraId="6BA53DE7" w14:textId="1BB63F07" w:rsidR="002C0D70" w:rsidRDefault="002C0D70" w:rsidP="00AA0F4D">
      <w:pPr>
        <w:pStyle w:val="Level2"/>
        <w:numPr>
          <w:ilvl w:val="1"/>
          <w:numId w:val="29"/>
        </w:numPr>
      </w:pPr>
      <w:r w:rsidRPr="002C0D70">
        <w:t xml:space="preserve">Neither the Tender Notice, this document nor any information given as part of the Procurement shall be regarded as a commitment or representation on the part of the </w:t>
      </w:r>
      <w:r w:rsidR="00C61865">
        <w:t>Trust</w:t>
      </w:r>
      <w:r w:rsidRPr="002C0D70">
        <w:t xml:space="preserve"> (or any other person) to enter into a contractual agreement.</w:t>
      </w:r>
    </w:p>
    <w:p w14:paraId="3BA17A64" w14:textId="16D7C49D" w:rsidR="002C0D70" w:rsidRDefault="002C0D70" w:rsidP="00AA0F4D">
      <w:pPr>
        <w:pStyle w:val="Level2"/>
        <w:numPr>
          <w:ilvl w:val="1"/>
          <w:numId w:val="29"/>
        </w:numPr>
      </w:pPr>
      <w:r w:rsidRPr="002C0D70">
        <w:t xml:space="preserve">The </w:t>
      </w:r>
      <w:r w:rsidR="00C61865">
        <w:t>Trust</w:t>
      </w:r>
      <w:r w:rsidRPr="002C0D70">
        <w:t xml:space="preserve"> reserves the right to cancel the Procurement at any point and/or to choose not to award any contract as a result of this Procurement. </w:t>
      </w:r>
    </w:p>
    <w:p w14:paraId="1BC08AF9" w14:textId="6A275117" w:rsidR="002C0D70" w:rsidRDefault="002C0D70" w:rsidP="00AA0F4D">
      <w:pPr>
        <w:pStyle w:val="Level2"/>
        <w:numPr>
          <w:ilvl w:val="1"/>
          <w:numId w:val="29"/>
        </w:numPr>
      </w:pPr>
      <w:r w:rsidRPr="002C0D70">
        <w:t xml:space="preserve">Suppliers will remain responsible for all costs and expenses incurred by them, their staff, and their advisers or by any third party acting under their instructions in connection with this Procurement. For the avoidance of doubt, the </w:t>
      </w:r>
      <w:r w:rsidR="00C61865">
        <w:t>Trust</w:t>
      </w:r>
      <w:r w:rsidRPr="002C0D70">
        <w:t xml:space="preserve"> shall have no liability whatsoever to Suppliers for the costs associated with any amendments, changes, discussions, or communications, regardless of whether a Supplier’s Tender is successful or is rejected, nor if the Procurement is terminated without award of a Contract.</w:t>
      </w:r>
    </w:p>
    <w:p w14:paraId="0A9AD183" w14:textId="3976C5EB" w:rsidR="002C0D70" w:rsidRDefault="002C0D70" w:rsidP="00AA0F4D">
      <w:pPr>
        <w:pStyle w:val="Level2"/>
        <w:numPr>
          <w:ilvl w:val="1"/>
          <w:numId w:val="29"/>
        </w:numPr>
      </w:pPr>
      <w:r w:rsidRPr="002C0D70">
        <w:t xml:space="preserve">The </w:t>
      </w:r>
      <w:r w:rsidR="00C61865">
        <w:t>Trust</w:t>
      </w:r>
      <w:r w:rsidRPr="002C0D70">
        <w:t xml:space="preserve"> reserves the right to:</w:t>
      </w:r>
    </w:p>
    <w:p w14:paraId="11D827A3" w14:textId="7F0A6AEF" w:rsidR="002C0D70" w:rsidRDefault="002C0D70" w:rsidP="00AF0DFE">
      <w:pPr>
        <w:pStyle w:val="Level3"/>
      </w:pPr>
      <w:r w:rsidRPr="002C0D70">
        <w:t>to issue amendments, modifications or additional information to any documentation which forms part of this Procurement, including the Procurement terms and conditions contained in this Appendix A before the Tender Response Deadline;</w:t>
      </w:r>
    </w:p>
    <w:p w14:paraId="633B9BD4" w14:textId="490EFD17" w:rsidR="002C0D70" w:rsidRDefault="002C0D70" w:rsidP="00AF0DFE">
      <w:pPr>
        <w:pStyle w:val="Level3"/>
      </w:pPr>
      <w:r w:rsidRPr="002C0D70">
        <w:t>to require a Supplier to clarify their proposal(s) and/or tender submission in writing and/or provide additional information – failure by a Supplier to respond adequately may result in their tender submission being rejected at any time;</w:t>
      </w:r>
    </w:p>
    <w:p w14:paraId="2594D225" w14:textId="65112013" w:rsidR="002C0D70" w:rsidRDefault="002C0D70" w:rsidP="00AF0DFE">
      <w:pPr>
        <w:pStyle w:val="Level3"/>
      </w:pPr>
      <w:r w:rsidRPr="002C0D70">
        <w:lastRenderedPageBreak/>
        <w:t>to alter the Procurement Timetable for this Procurement at any time; and/or</w:t>
      </w:r>
    </w:p>
    <w:p w14:paraId="0D3A4DA6" w14:textId="0DFF0331" w:rsidR="002C0D70" w:rsidRDefault="002C0D70" w:rsidP="00AF0DFE">
      <w:pPr>
        <w:pStyle w:val="Level3"/>
      </w:pPr>
      <w:r w:rsidRPr="002C0D70">
        <w:t>to rewind and re-run any part of the Procurement on the same or alternative basis at any time.</w:t>
      </w:r>
    </w:p>
    <w:p w14:paraId="7D84D5C8" w14:textId="7DF1B816" w:rsidR="00D32700" w:rsidRPr="00F145E2" w:rsidRDefault="00D32700" w:rsidP="00F145E2">
      <w:pPr>
        <w:pStyle w:val="Level2"/>
        <w:numPr>
          <w:ilvl w:val="0"/>
          <w:numId w:val="0"/>
        </w:numPr>
        <w:ind w:left="720" w:hanging="720"/>
        <w:rPr>
          <w:b/>
          <w:bCs/>
        </w:rPr>
      </w:pPr>
      <w:r>
        <w:rPr>
          <w:b/>
          <w:bCs/>
        </w:rPr>
        <w:t>Option to direct award</w:t>
      </w:r>
    </w:p>
    <w:p w14:paraId="42CD2ABB" w14:textId="4BE7250A" w:rsidR="00D32700" w:rsidRDefault="00D32700" w:rsidP="00AA0F4D">
      <w:pPr>
        <w:pStyle w:val="Level2"/>
        <w:numPr>
          <w:ilvl w:val="1"/>
          <w:numId w:val="29"/>
        </w:numPr>
      </w:pPr>
      <w:r>
        <w:t>The Trust reserves the right to directly award additional or repeat, goods, works or services in accordance with Schedule 5, paragraph 8 of the Act.</w:t>
      </w:r>
    </w:p>
    <w:p w14:paraId="76449137" w14:textId="77777777" w:rsidR="002C0D70" w:rsidRDefault="002C0D70" w:rsidP="002C0D70">
      <w:pPr>
        <w:pStyle w:val="Level2"/>
        <w:numPr>
          <w:ilvl w:val="0"/>
          <w:numId w:val="0"/>
        </w:numPr>
        <w:ind w:left="720" w:hanging="720"/>
      </w:pPr>
      <w:r w:rsidRPr="002C0D70">
        <w:rPr>
          <w:b/>
        </w:rPr>
        <w:t>Confidentiality and publicity</w:t>
      </w:r>
    </w:p>
    <w:p w14:paraId="77035B6C" w14:textId="51E5CC14" w:rsidR="002C0D70" w:rsidRDefault="002C0D70" w:rsidP="00AA0F4D">
      <w:pPr>
        <w:pStyle w:val="Level2"/>
        <w:numPr>
          <w:ilvl w:val="1"/>
          <w:numId w:val="29"/>
        </w:numPr>
      </w:pPr>
      <w:r w:rsidRPr="002C0D70">
        <w:t xml:space="preserve">Save to the extent made publicly available by the </w:t>
      </w:r>
      <w:r w:rsidR="00C61865">
        <w:t>Trust</w:t>
      </w:r>
      <w:r w:rsidRPr="002C0D70">
        <w:t>,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w:t>
      </w:r>
    </w:p>
    <w:p w14:paraId="524FF808" w14:textId="77777777" w:rsidR="002C0D70" w:rsidRDefault="002C0D70" w:rsidP="00AA0F4D">
      <w:pPr>
        <w:pStyle w:val="Level3"/>
        <w:numPr>
          <w:ilvl w:val="2"/>
          <w:numId w:val="30"/>
        </w:numPr>
      </w:pPr>
      <w:r w:rsidRPr="002C0D70">
        <w:t xml:space="preserve">in order to comply with legal obligations; or </w:t>
      </w:r>
    </w:p>
    <w:p w14:paraId="099E5E82" w14:textId="61B6F95B" w:rsidR="002C0D70" w:rsidRDefault="002C0D70" w:rsidP="00AA0F4D">
      <w:pPr>
        <w:pStyle w:val="Level3"/>
        <w:numPr>
          <w:ilvl w:val="2"/>
          <w:numId w:val="59"/>
        </w:numPr>
      </w:pPr>
      <w:r w:rsidRPr="002C0D70">
        <w:t xml:space="preserve">for the purpose of enabling a submission to be made to the </w:t>
      </w:r>
      <w:r w:rsidR="00C61865">
        <w:t>Trust</w:t>
      </w:r>
      <w:r w:rsidRPr="002C0D70">
        <w:t xml:space="preserve">, in which case the information may only be provided to any other person where that person has given an undertaking prior to the receipt of the relevant information (and for the benefit of the </w:t>
      </w:r>
      <w:r w:rsidR="00C61865">
        <w:t>Trust</w:t>
      </w:r>
      <w:r w:rsidRPr="002C0D70">
        <w:t>) to keep such information confidential.</w:t>
      </w:r>
    </w:p>
    <w:p w14:paraId="3FB0AA74" w14:textId="659C6C53" w:rsidR="002C0D70" w:rsidRDefault="002C0D70" w:rsidP="00AA0F4D">
      <w:pPr>
        <w:pStyle w:val="Level2"/>
        <w:numPr>
          <w:ilvl w:val="1"/>
          <w:numId w:val="29"/>
        </w:numPr>
      </w:pPr>
      <w:r w:rsidRPr="002C0D70">
        <w:t xml:space="preserve">All information and material provided shall be either returned to the </w:t>
      </w:r>
      <w:r w:rsidR="00C61865">
        <w:t>Trust</w:t>
      </w:r>
      <w:r w:rsidRPr="002C0D70">
        <w:t xml:space="preserve"> or securely destroyed by unsuccessful Suppliers at the conclusion of the Procurement. </w:t>
      </w:r>
    </w:p>
    <w:p w14:paraId="13BA2281" w14:textId="738C2146" w:rsidR="002C0D70" w:rsidRDefault="002C0D70" w:rsidP="00AA0F4D">
      <w:pPr>
        <w:pStyle w:val="Level2"/>
        <w:numPr>
          <w:ilvl w:val="1"/>
          <w:numId w:val="29"/>
        </w:numPr>
      </w:pPr>
      <w:r w:rsidRPr="002C0D70">
        <w:t xml:space="preserve">The </w:t>
      </w:r>
      <w:r w:rsidR="00C61865">
        <w:t>Trust</w:t>
      </w:r>
      <w:r w:rsidRPr="002C0D70">
        <w:t xml:space="preserve"> may disclose Tender information to its officers, employees, agents, professional advisors, or partners for the purposes of conducting this Procurement and (where applicable) management of the Contract. In providing such information the Supplier consents to such disclosure.</w:t>
      </w:r>
    </w:p>
    <w:p w14:paraId="256463A8" w14:textId="20B8AFB1" w:rsidR="002C0D70" w:rsidRDefault="002C0D70" w:rsidP="00AA0F4D">
      <w:pPr>
        <w:pStyle w:val="Level2"/>
        <w:numPr>
          <w:ilvl w:val="1"/>
          <w:numId w:val="29"/>
        </w:numPr>
      </w:pPr>
      <w:r w:rsidRPr="002C0D70">
        <w:t xml:space="preserve">Suppliers must not take part in any publicity activities with any part of the media about this Procurement without obtaining the express prior written agreement of the </w:t>
      </w:r>
      <w:r w:rsidR="00C61865">
        <w:t>Trust</w:t>
      </w:r>
      <w:r w:rsidRPr="002C0D70">
        <w:t>. When requesting prior written agreement, Suppliers are required to detail the proposed media coverage including format and content of any publicity.</w:t>
      </w:r>
    </w:p>
    <w:p w14:paraId="14A34CF9" w14:textId="77777777" w:rsidR="002C0D70" w:rsidRDefault="002C0D70" w:rsidP="002C0D70">
      <w:pPr>
        <w:pStyle w:val="Level2"/>
        <w:numPr>
          <w:ilvl w:val="0"/>
          <w:numId w:val="0"/>
        </w:numPr>
      </w:pPr>
      <w:r w:rsidRPr="002C0D70">
        <w:rPr>
          <w:b/>
        </w:rPr>
        <w:t xml:space="preserve">Freedom of information and environmental information </w:t>
      </w:r>
    </w:p>
    <w:p w14:paraId="79790E46" w14:textId="05075BCF" w:rsidR="006D77DD" w:rsidRDefault="002C0D70" w:rsidP="00AA0F4D">
      <w:pPr>
        <w:pStyle w:val="Level2"/>
        <w:numPr>
          <w:ilvl w:val="1"/>
          <w:numId w:val="29"/>
        </w:numPr>
      </w:pPr>
      <w:r w:rsidRPr="002C0D70">
        <w:t xml:space="preserve">The </w:t>
      </w:r>
      <w:r w:rsidR="00C61865">
        <w:t>Trust</w:t>
      </w:r>
      <w:r w:rsidRPr="002C0D70">
        <w:t xml:space="preserve"> is subject to the Freedom of Information Act 2000 (FOIA) and the Environmental Information Regulations 2004 (EIR). All information submitted to the </w:t>
      </w:r>
      <w:r w:rsidR="00C61865">
        <w:t>Trust</w:t>
      </w:r>
      <w:r w:rsidRPr="002C0D70">
        <w:t xml:space="preserve"> may be disclosed in response to a request made pursuant to the FOIA or the EIR. </w:t>
      </w:r>
    </w:p>
    <w:p w14:paraId="5A55A6A6" w14:textId="77777777" w:rsidR="002C0D70" w:rsidRDefault="002C0D70" w:rsidP="00AA0F4D">
      <w:pPr>
        <w:pStyle w:val="Level2"/>
        <w:numPr>
          <w:ilvl w:val="1"/>
          <w:numId w:val="29"/>
        </w:numPr>
      </w:pPr>
      <w:r>
        <w:t>In respect of any information submitted by a Supplier that it considers to be commercially sensitive, the Supplier should:</w:t>
      </w:r>
    </w:p>
    <w:p w14:paraId="22E703A6" w14:textId="71D6F5D9" w:rsidR="002C0D70" w:rsidRDefault="002C0D70" w:rsidP="00AA0F4D">
      <w:pPr>
        <w:pStyle w:val="Level3"/>
        <w:numPr>
          <w:ilvl w:val="2"/>
          <w:numId w:val="31"/>
        </w:numPr>
      </w:pPr>
      <w:r>
        <w:t>clearly identify which information is considered commercially sensitive and complete the table contained within Appendix F;</w:t>
      </w:r>
    </w:p>
    <w:p w14:paraId="1383CCE0" w14:textId="6E01ED1D" w:rsidR="002C0D70" w:rsidRDefault="002C0D70" w:rsidP="00AA0F4D">
      <w:pPr>
        <w:pStyle w:val="Level3"/>
        <w:numPr>
          <w:ilvl w:val="2"/>
          <w:numId w:val="60"/>
        </w:numPr>
      </w:pPr>
      <w:r>
        <w:t xml:space="preserve">explain the potential implications of disclosure of such information; and </w:t>
      </w:r>
    </w:p>
    <w:p w14:paraId="4257717C" w14:textId="0C850DAA" w:rsidR="002C0D70" w:rsidRDefault="002C0D70" w:rsidP="00AF0DFE">
      <w:pPr>
        <w:pStyle w:val="Level3"/>
      </w:pPr>
      <w:r>
        <w:t>provide an estimate of the period of time for which the Supplier considers that such information will remain commercially sensitive.</w:t>
      </w:r>
    </w:p>
    <w:p w14:paraId="2FA98028" w14:textId="1ADC0CA0" w:rsidR="002C0D70" w:rsidRDefault="002C0D70" w:rsidP="00AA0F4D">
      <w:pPr>
        <w:pStyle w:val="Level2"/>
        <w:numPr>
          <w:ilvl w:val="1"/>
          <w:numId w:val="29"/>
        </w:numPr>
      </w:pPr>
      <w:r>
        <w:t xml:space="preserve">The </w:t>
      </w:r>
      <w:r w:rsidR="00C61865">
        <w:t>Trust</w:t>
      </w:r>
      <w:r>
        <w:t xml:space="preserve"> will endeavour to:</w:t>
      </w:r>
    </w:p>
    <w:p w14:paraId="14A65DC5" w14:textId="2721CE7B" w:rsidR="002C0D70" w:rsidRDefault="002C0D70" w:rsidP="00AA0F4D">
      <w:pPr>
        <w:pStyle w:val="Level3"/>
        <w:numPr>
          <w:ilvl w:val="2"/>
          <w:numId w:val="32"/>
        </w:numPr>
      </w:pPr>
      <w:r>
        <w:t>hold confidential all information submitted by a Supplier that it identifies as being commercially sensitive; and</w:t>
      </w:r>
    </w:p>
    <w:p w14:paraId="4D67FCDF" w14:textId="0ECF6A0E" w:rsidR="002C0D70" w:rsidRDefault="002C0D70" w:rsidP="00AA0F4D">
      <w:pPr>
        <w:pStyle w:val="Level3"/>
        <w:numPr>
          <w:ilvl w:val="2"/>
          <w:numId w:val="61"/>
        </w:numPr>
      </w:pPr>
      <w:r>
        <w:lastRenderedPageBreak/>
        <w:t xml:space="preserve">consult with a Supplier about commercially sensitive information before making a decision on any FOIA requests and EIR requests received. </w:t>
      </w:r>
    </w:p>
    <w:p w14:paraId="295CDA98" w14:textId="268E44B0" w:rsidR="002C0D70" w:rsidRDefault="002C0D70" w:rsidP="00AA0F4D">
      <w:pPr>
        <w:pStyle w:val="Level2"/>
        <w:numPr>
          <w:ilvl w:val="1"/>
          <w:numId w:val="29"/>
        </w:numPr>
      </w:pPr>
      <w:r>
        <w:t xml:space="preserve">Suppliers should note, however, that the final decision on any FOIA request and EIR request rests with the </w:t>
      </w:r>
      <w:r w:rsidR="00C61865">
        <w:t>Trust</w:t>
      </w:r>
      <w:r>
        <w:t xml:space="preserve">, subject to applicable law. Even where information is identified as commercially sensitive, unless an exemption/exception provided for under the FOIA/EIR is applicable, the </w:t>
      </w:r>
      <w:r w:rsidR="00C61865">
        <w:t>Trust</w:t>
      </w:r>
      <w:r>
        <w:t xml:space="preserve"> will be obliged to disclose that information in response to a request. Accordingly, the </w:t>
      </w:r>
      <w:r w:rsidR="00C61865">
        <w:t>Trust</w:t>
      </w:r>
      <w:r>
        <w:t xml:space="preserve"> cannot guarantee that any information marked ‘commercially sensitive’ will not be disclosed.</w:t>
      </w:r>
    </w:p>
    <w:p w14:paraId="6A3ABC0D" w14:textId="77777777" w:rsidR="002C0D70" w:rsidRPr="002C0D70" w:rsidRDefault="002C0D70" w:rsidP="002C0D70">
      <w:pPr>
        <w:pStyle w:val="Level2"/>
        <w:numPr>
          <w:ilvl w:val="0"/>
          <w:numId w:val="0"/>
        </w:numPr>
        <w:rPr>
          <w:b/>
          <w:bCs/>
        </w:rPr>
      </w:pPr>
      <w:r w:rsidRPr="002C0D70">
        <w:rPr>
          <w:b/>
          <w:bCs/>
        </w:rPr>
        <w:t>Requirements on sub-contractors and consortium</w:t>
      </w:r>
    </w:p>
    <w:p w14:paraId="6A4D3FD2" w14:textId="5645F255" w:rsidR="002C0D70" w:rsidRDefault="002C0D70" w:rsidP="00AA0F4D">
      <w:pPr>
        <w:pStyle w:val="Level2"/>
        <w:numPr>
          <w:ilvl w:val="1"/>
          <w:numId w:val="29"/>
        </w:numPr>
      </w:pPr>
      <w:r>
        <w:t xml:space="preserve">If requested to do so by the </w:t>
      </w:r>
      <w:r w:rsidR="00C61865">
        <w:t>Trust</w:t>
      </w:r>
      <w:r>
        <w:t>, a Supplier will be required to enter into a legal arrangement with other members of a consortium or with any parties which are relied on in order to satisfy the Conditions of Participation relating to this Procurement (in accordance with section 72 of the Act). Tenders submitted by potential consortia must therefore include a “Letter of Intent to form a consortium” in the event of being successful and it must:</w:t>
      </w:r>
    </w:p>
    <w:p w14:paraId="30965A38" w14:textId="54C82ED1" w:rsidR="002C0D70" w:rsidRDefault="002C0D70" w:rsidP="00AA0F4D">
      <w:pPr>
        <w:pStyle w:val="Level3"/>
        <w:numPr>
          <w:ilvl w:val="2"/>
          <w:numId w:val="62"/>
        </w:numPr>
      </w:pPr>
      <w:r>
        <w:t>be signed by a duly authorised representative of each member of the consortium with details of each signatory provided in print below each signature;</w:t>
      </w:r>
    </w:p>
    <w:p w14:paraId="130FE4A6" w14:textId="4AC036FB" w:rsidR="002C0D70" w:rsidRDefault="002C0D70" w:rsidP="00AA0F4D">
      <w:pPr>
        <w:pStyle w:val="Level3"/>
        <w:numPr>
          <w:ilvl w:val="2"/>
          <w:numId w:val="63"/>
        </w:numPr>
      </w:pPr>
      <w:r>
        <w:t>include an express provision that each member of the consortium is jointly and severally liable in respect of the Supplier’s obligations;</w:t>
      </w:r>
    </w:p>
    <w:p w14:paraId="63C360A9" w14:textId="1AD9FC72" w:rsidR="002C0D70" w:rsidRDefault="002C0D70" w:rsidP="00AF0DFE">
      <w:pPr>
        <w:pStyle w:val="Level3"/>
      </w:pPr>
      <w:r>
        <w:t xml:space="preserve">provide details of the name of the organisation nominated to act as manager of the consortium and who is authorised to act for the consortium in terms of committing it to any </w:t>
      </w:r>
      <w:r>
        <w:tab/>
        <w:t xml:space="preserve">obligations and liabilities and to receive and act upon instructions from the </w:t>
      </w:r>
      <w:r w:rsidR="00C61865">
        <w:t>Trust</w:t>
      </w:r>
      <w:r>
        <w:t xml:space="preserve"> and to make and receive payments; and</w:t>
      </w:r>
    </w:p>
    <w:p w14:paraId="5960219D" w14:textId="2FFEE209" w:rsidR="002C0D70" w:rsidRDefault="002C0D70" w:rsidP="00AF0DFE">
      <w:pPr>
        <w:pStyle w:val="Level3"/>
      </w:pPr>
      <w:r>
        <w:t>state full details of the proposed structure; the division of technical responsibilities between the partners and intended capitalisation.</w:t>
      </w:r>
    </w:p>
    <w:p w14:paraId="57F6654A" w14:textId="290C7321" w:rsidR="002C0D70" w:rsidRDefault="002C0D70" w:rsidP="00AA0F4D">
      <w:pPr>
        <w:pStyle w:val="Level2"/>
        <w:numPr>
          <w:ilvl w:val="1"/>
          <w:numId w:val="29"/>
        </w:numPr>
      </w:pPr>
      <w:r>
        <w:t xml:space="preserve"> Provision of the letter of intent described above shall be considered a mandatory requirement for this Procurement and failure to provide such a letter will result in the Supplier’s exclusion from the Procurement. </w:t>
      </w:r>
    </w:p>
    <w:p w14:paraId="2298BF3F" w14:textId="14B4D5E6" w:rsidR="002C0D70" w:rsidRDefault="002C0D70" w:rsidP="00AA0F4D">
      <w:pPr>
        <w:pStyle w:val="Level2"/>
        <w:numPr>
          <w:ilvl w:val="1"/>
          <w:numId w:val="29"/>
        </w:numPr>
      </w:pPr>
      <w:r>
        <w:t xml:space="preserve">Where sub-contractors will play a significant role in the delivery of the services or products under a Contract, Suppliers must indicate the composition of the supply chain, indicating which member of the supply chain will be responsible for the elements of the requirement noting that ultimate responsibility will always rest with the prime contractor. For the avoidance of doubt, any sub-contractor relied upon by the Supplier to satisfy the Conditions of Participation will be considered to play a significant role in the delivery of the services or products under any ensuing contract and must be included. </w:t>
      </w:r>
    </w:p>
    <w:p w14:paraId="58ED94EC" w14:textId="77777777" w:rsidR="002C0D70" w:rsidRDefault="002C0D70" w:rsidP="00AA0F4D">
      <w:pPr>
        <w:pStyle w:val="Level2"/>
        <w:numPr>
          <w:ilvl w:val="1"/>
          <w:numId w:val="29"/>
        </w:numPr>
      </w:pPr>
      <w:r>
        <w:t xml:space="preserve">Where the Tender is submitted by a group of economic operators then, in the absence of a consortium agreement, each member of the group of economic operators shall be deemed to be a sub-contractor to the Supplier and shall not be a party to the Contract. The group of economic operators must determine prior to submitting a proposal which of the group will submit on their behalf and be the ‘Supplier’. </w:t>
      </w:r>
    </w:p>
    <w:p w14:paraId="2D77150D" w14:textId="23587DCE" w:rsidR="002C0D70" w:rsidRDefault="002C0D70" w:rsidP="00AA0F4D">
      <w:pPr>
        <w:pStyle w:val="Level2"/>
        <w:numPr>
          <w:ilvl w:val="1"/>
          <w:numId w:val="29"/>
        </w:numPr>
      </w:pPr>
      <w:r>
        <w:t xml:space="preserve">It is recognised that arrangements in relation to sub-contracting/consortia may (within limits) be subject to future change. Suppliers should therefore respond in the light of the arrangements as currently envisaged. Suppliers should be aware that where sub-contractors are to play a significant role, any changes to those sub-contracting arrangements may affect the ability of the Supplier to proceed in the Procurement process or to provide the goods and/or services. Suppliers are reminded that any future proposed change in relation to consortia must be notified to the </w:t>
      </w:r>
      <w:r w:rsidR="00C61865">
        <w:t>Trust</w:t>
      </w:r>
      <w:r>
        <w:t xml:space="preserve"> so that it can make a further assessment by applying the Conditions of Participation to the new information provided. The </w:t>
      </w:r>
      <w:r w:rsidR="00C61865">
        <w:t>Trust</w:t>
      </w:r>
      <w:r>
        <w:t xml:space="preserve"> may exclude a Supplier in the event that a change to a proposed sub-contractor </w:t>
      </w:r>
      <w:r>
        <w:lastRenderedPageBreak/>
        <w:t xml:space="preserve">or consortium member results in an inability to meet the Conditions of Participation (including where one or more mandatory or discretionary grounds for exclusion is met as a consequence of such change). </w:t>
      </w:r>
    </w:p>
    <w:p w14:paraId="4C6F5C1A" w14:textId="77777777" w:rsidR="002C0D70" w:rsidRPr="002C0D70" w:rsidRDefault="002C0D70" w:rsidP="002C0D70">
      <w:pPr>
        <w:pStyle w:val="Level2"/>
        <w:numPr>
          <w:ilvl w:val="0"/>
          <w:numId w:val="0"/>
        </w:numPr>
        <w:rPr>
          <w:b/>
          <w:bCs/>
        </w:rPr>
      </w:pPr>
      <w:r w:rsidRPr="002C0D70">
        <w:rPr>
          <w:b/>
          <w:bCs/>
        </w:rPr>
        <w:t>Non-collusion, non-canvassing</w:t>
      </w:r>
    </w:p>
    <w:p w14:paraId="672D3D1D" w14:textId="587F22C5" w:rsidR="002C0D70" w:rsidRDefault="002C0D70" w:rsidP="00AA0F4D">
      <w:pPr>
        <w:pStyle w:val="Level2"/>
        <w:numPr>
          <w:ilvl w:val="1"/>
          <w:numId w:val="29"/>
        </w:numPr>
      </w:pPr>
      <w:r>
        <w:t xml:space="preserve">Any attempt by a Supplier or their advisers to influence the Procurement in any way may result in the exclusion of the Supplier, without prejudice to any other civil or legal remedies available to the </w:t>
      </w:r>
      <w:r w:rsidR="00C61865">
        <w:t>Trust</w:t>
      </w:r>
      <w:r>
        <w:t xml:space="preserve"> and without prejudice to any criminal liability that such conduct by a Supplier may attract.</w:t>
      </w:r>
    </w:p>
    <w:p w14:paraId="4D8E8269" w14:textId="77777777" w:rsidR="002C0D70" w:rsidRDefault="002C0D70" w:rsidP="00AA0F4D">
      <w:pPr>
        <w:pStyle w:val="Level2"/>
        <w:numPr>
          <w:ilvl w:val="1"/>
          <w:numId w:val="29"/>
        </w:numPr>
      </w:pPr>
      <w:r>
        <w:t>Specifically, Suppliers must not directly or indirectly at any time:</w:t>
      </w:r>
    </w:p>
    <w:p w14:paraId="6F2DE02A" w14:textId="3048C51B" w:rsidR="002C0D70" w:rsidRDefault="002C0D70" w:rsidP="00AA0F4D">
      <w:pPr>
        <w:pStyle w:val="Level3"/>
        <w:numPr>
          <w:ilvl w:val="2"/>
          <w:numId w:val="56"/>
        </w:numPr>
      </w:pPr>
      <w: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4DFDAC49" w14:textId="5CDD2E4C" w:rsidR="002C0D70" w:rsidRDefault="002C0D70" w:rsidP="00AA0F4D">
      <w:pPr>
        <w:pStyle w:val="Level3"/>
        <w:numPr>
          <w:ilvl w:val="2"/>
          <w:numId w:val="57"/>
        </w:numPr>
      </w:pPr>
      <w:r>
        <w:t>enter into any agreement or arrangement with any other person as to the form or content of any other submission or offer to pay any sum of money or valuable consideration to any person to effect changes to the form or content of any other submission;</w:t>
      </w:r>
    </w:p>
    <w:p w14:paraId="17C73E45" w14:textId="3A85A399" w:rsidR="002C0D70" w:rsidRDefault="002C0D70" w:rsidP="00AF0DFE">
      <w:pPr>
        <w:pStyle w:val="Level3"/>
      </w:pPr>
      <w:r>
        <w:t>enter into any agreement or arrangement with any other person that has the effect of prohibiting or excluding that person from submitting a response in this Procurement;</w:t>
      </w:r>
    </w:p>
    <w:p w14:paraId="51AC970F" w14:textId="080FE90F" w:rsidR="002C0D70" w:rsidRDefault="002C0D70" w:rsidP="00AF0DFE">
      <w:pPr>
        <w:pStyle w:val="Level3"/>
      </w:pPr>
      <w:r>
        <w:t xml:space="preserve">canvass any employees, members or agents of the </w:t>
      </w:r>
      <w:r w:rsidR="00C61865">
        <w:t>Trust</w:t>
      </w:r>
      <w:r>
        <w:t xml:space="preserve"> in relation to this Procurement;</w:t>
      </w:r>
    </w:p>
    <w:p w14:paraId="652C0AEA" w14:textId="3C6AAF7E" w:rsidR="002C0D70" w:rsidRDefault="002C0D70" w:rsidP="00AF0DFE">
      <w:pPr>
        <w:pStyle w:val="Level3"/>
      </w:pPr>
      <w:r>
        <w:t xml:space="preserve">attempt to obtain information from any of the employees, members or agents of the </w:t>
      </w:r>
      <w:r w:rsidR="00C61865">
        <w:t>Trust</w:t>
      </w:r>
      <w:r>
        <w:t xml:space="preserve"> or their advisors concerning another Supplier or submission; and/or</w:t>
      </w:r>
    </w:p>
    <w:p w14:paraId="65ABA57F" w14:textId="5ECAA255" w:rsidR="002C0D70" w:rsidRDefault="002C0D70" w:rsidP="00AF0DFE">
      <w:pPr>
        <w:pStyle w:val="Level3"/>
      </w:pPr>
      <w:r>
        <w:t xml:space="preserve">carry out any other co-operation or collusion with another Supplier or any other person which the </w:t>
      </w:r>
      <w:r w:rsidR="00C61865">
        <w:t>Trust</w:t>
      </w:r>
      <w:r>
        <w:t xml:space="preserve"> considers capable of undermining fair competition.</w:t>
      </w:r>
    </w:p>
    <w:p w14:paraId="04F8E7F6" w14:textId="77777777" w:rsidR="002C0D70" w:rsidRPr="002C0D70" w:rsidRDefault="002C0D70" w:rsidP="002C0D70">
      <w:pPr>
        <w:pStyle w:val="Level2"/>
        <w:numPr>
          <w:ilvl w:val="0"/>
          <w:numId w:val="0"/>
        </w:numPr>
        <w:ind w:left="720" w:hanging="720"/>
        <w:rPr>
          <w:b/>
          <w:bCs/>
        </w:rPr>
      </w:pPr>
      <w:r w:rsidRPr="002C0D70">
        <w:rPr>
          <w:b/>
          <w:bCs/>
        </w:rPr>
        <w:t>Improper behaviour</w:t>
      </w:r>
    </w:p>
    <w:p w14:paraId="5BE76E48" w14:textId="08DBD610" w:rsidR="002C0D70" w:rsidRDefault="002C0D70" w:rsidP="00AA0F4D">
      <w:pPr>
        <w:pStyle w:val="Level2"/>
        <w:numPr>
          <w:ilvl w:val="1"/>
          <w:numId w:val="29"/>
        </w:numPr>
      </w:pPr>
      <w:r>
        <w:t xml:space="preserve">The </w:t>
      </w:r>
      <w:r w:rsidR="00C61865">
        <w:t>Trust</w:t>
      </w:r>
      <w:r>
        <w:t xml:space="preserve"> reserves the right to disqualify any Supplier from participating in this Procurement where the </w:t>
      </w:r>
      <w:r w:rsidR="00C61865">
        <w:t>Trust</w:t>
      </w:r>
      <w:r>
        <w:t xml:space="preserve"> determines that such Supplier has acted improperly resulting in it gaining an unfair advantage in relation to any award of contract and such unfair advantage cannot be avoided without disqualifying the relevant Supplier. </w:t>
      </w:r>
    </w:p>
    <w:p w14:paraId="587E968C" w14:textId="77777777" w:rsidR="002C0D70" w:rsidRDefault="002C0D70" w:rsidP="00AA0F4D">
      <w:pPr>
        <w:pStyle w:val="Level2"/>
        <w:numPr>
          <w:ilvl w:val="1"/>
          <w:numId w:val="29"/>
        </w:numPr>
      </w:pPr>
      <w:r>
        <w:t>For these purposes, “acting improperly” includes where the Supplier:</w:t>
      </w:r>
    </w:p>
    <w:p w14:paraId="0B626343" w14:textId="4803FCE4" w:rsidR="002C0D70" w:rsidRDefault="002C0D70" w:rsidP="00AA0F4D">
      <w:pPr>
        <w:pStyle w:val="Level3"/>
        <w:numPr>
          <w:ilvl w:val="2"/>
          <w:numId w:val="33"/>
        </w:numPr>
      </w:pPr>
      <w:r>
        <w:t xml:space="preserve">fails to provide information requested by the </w:t>
      </w:r>
      <w:r w:rsidR="00C61865">
        <w:t>Trust</w:t>
      </w:r>
      <w:r>
        <w:t>;</w:t>
      </w:r>
    </w:p>
    <w:p w14:paraId="5886B21E" w14:textId="79D237D0" w:rsidR="002C0D70" w:rsidRDefault="002C0D70" w:rsidP="00AA0F4D">
      <w:pPr>
        <w:pStyle w:val="Level3"/>
        <w:numPr>
          <w:ilvl w:val="2"/>
          <w:numId w:val="58"/>
        </w:numPr>
      </w:pPr>
      <w:r>
        <w:t xml:space="preserve">provides information to the </w:t>
      </w:r>
      <w:r w:rsidR="00C61865">
        <w:t>Trust</w:t>
      </w:r>
      <w:r>
        <w:t xml:space="preserve"> that is incomplete, inaccurate or misleading; </w:t>
      </w:r>
    </w:p>
    <w:p w14:paraId="426C0C41" w14:textId="4B5631C4" w:rsidR="002C0D70" w:rsidRDefault="002C0D70" w:rsidP="00AF0DFE">
      <w:pPr>
        <w:pStyle w:val="Level3"/>
      </w:pPr>
      <w:r>
        <w:t>accesses confidential information; or</w:t>
      </w:r>
    </w:p>
    <w:p w14:paraId="461EEDE8" w14:textId="063ED972" w:rsidR="002C0D70" w:rsidRDefault="002C0D70" w:rsidP="00AF0DFE">
      <w:pPr>
        <w:pStyle w:val="Level3"/>
      </w:pPr>
      <w:r>
        <w:t xml:space="preserve">unduly influences the </w:t>
      </w:r>
      <w:r w:rsidR="00C61865">
        <w:t>Trust’s</w:t>
      </w:r>
      <w:r>
        <w:t xml:space="preserve"> decision-making.</w:t>
      </w:r>
    </w:p>
    <w:p w14:paraId="2B99C462" w14:textId="7B47807B" w:rsidR="002C0D70" w:rsidRDefault="002C0D70" w:rsidP="00AA0F4D">
      <w:pPr>
        <w:pStyle w:val="Level2"/>
        <w:numPr>
          <w:ilvl w:val="1"/>
          <w:numId w:val="29"/>
        </w:numPr>
      </w:pPr>
      <w:r>
        <w:t xml:space="preserve">Prior to any such disqualification, the </w:t>
      </w:r>
      <w:r w:rsidR="00C61865">
        <w:t>Trust</w:t>
      </w:r>
      <w:r>
        <w:t xml:space="preserve"> will notify the Supplier in question of the intention to disqualify and will provide the Supplier with </w:t>
      </w:r>
      <w:r w:rsidR="008B3536">
        <w:t>5 working days</w:t>
      </w:r>
      <w:r>
        <w:t xml:space="preserve"> (or such other period as the </w:t>
      </w:r>
      <w:r w:rsidR="00C61865">
        <w:t>Trust</w:t>
      </w:r>
      <w:r>
        <w:t xml:space="preserve"> considers reasonable in the circumstances) to make representations and provide relevant evidence as to why the Supplier should not be disqualified. The </w:t>
      </w:r>
      <w:r w:rsidR="00C61865">
        <w:t>Trust</w:t>
      </w:r>
      <w:r>
        <w:t xml:space="preserve"> will consider any such representations and evidence prior to making its final determination. </w:t>
      </w:r>
    </w:p>
    <w:p w14:paraId="7E3C225A" w14:textId="77777777" w:rsidR="001B5D03" w:rsidRDefault="001B5D03" w:rsidP="002C0D70">
      <w:pPr>
        <w:pStyle w:val="Level2"/>
        <w:numPr>
          <w:ilvl w:val="0"/>
          <w:numId w:val="0"/>
        </w:numPr>
        <w:rPr>
          <w:b/>
          <w:bCs/>
        </w:rPr>
      </w:pPr>
    </w:p>
    <w:p w14:paraId="450FBB0B" w14:textId="32298766" w:rsidR="002C0D70" w:rsidRPr="002C0D70" w:rsidRDefault="002C0D70" w:rsidP="002C0D70">
      <w:pPr>
        <w:pStyle w:val="Level2"/>
        <w:numPr>
          <w:ilvl w:val="0"/>
          <w:numId w:val="0"/>
        </w:numPr>
        <w:rPr>
          <w:b/>
          <w:bCs/>
        </w:rPr>
      </w:pPr>
      <w:r w:rsidRPr="002C0D70">
        <w:rPr>
          <w:b/>
          <w:bCs/>
        </w:rPr>
        <w:lastRenderedPageBreak/>
        <w:t>Conflicts of interest</w:t>
      </w:r>
    </w:p>
    <w:p w14:paraId="07876DDD" w14:textId="01422194" w:rsidR="002C0D70" w:rsidRDefault="002C0D70" w:rsidP="00AA0F4D">
      <w:pPr>
        <w:pStyle w:val="Level2"/>
        <w:numPr>
          <w:ilvl w:val="1"/>
          <w:numId w:val="29"/>
        </w:numPr>
      </w:pPr>
      <w:r>
        <w:t xml:space="preserve">Suppliers are responsible for ensuring that no actual, potential or perceived conflicts of interest (within the meaning of the Act) exist between themselves and the </w:t>
      </w:r>
      <w:r w:rsidR="00C61865">
        <w:t>Trust</w:t>
      </w:r>
      <w:r>
        <w:t xml:space="preserve"> or its advisers. A conflict of interest may arise where (for example):</w:t>
      </w:r>
    </w:p>
    <w:p w14:paraId="718E7B18" w14:textId="51A059B2" w:rsidR="002C0D70" w:rsidRDefault="002C0D70" w:rsidP="00AA0F4D">
      <w:pPr>
        <w:pStyle w:val="Level3"/>
        <w:numPr>
          <w:ilvl w:val="2"/>
          <w:numId w:val="34"/>
        </w:numPr>
      </w:pPr>
      <w:r>
        <w:t xml:space="preserve">a Supplier, Consortium member and/or Sub-Contractor has been involved in advising the </w:t>
      </w:r>
      <w:r w:rsidR="00C61865">
        <w:t>Trust</w:t>
      </w:r>
      <w:r>
        <w:t xml:space="preserve"> on matters relating to the Contract or in the preparation of documents or information relating to the Contract; or</w:t>
      </w:r>
    </w:p>
    <w:p w14:paraId="02153053" w14:textId="64A4F215" w:rsidR="002C0D70" w:rsidRDefault="002C0D70" w:rsidP="00AA0F4D">
      <w:pPr>
        <w:pStyle w:val="Level3"/>
        <w:numPr>
          <w:ilvl w:val="2"/>
          <w:numId w:val="55"/>
        </w:numPr>
      </w:pPr>
      <w:r>
        <w:t xml:space="preserve">a director, company secretary, or a staff member from a Supplier, Consortium member and/or Sub-Contractor is related to or has a personal interest with a Relevant Staff Member(s) of the </w:t>
      </w:r>
      <w:r w:rsidR="00C61865">
        <w:t>Trust</w:t>
      </w:r>
      <w:r>
        <w:t xml:space="preserve">. Such a relationship may not create a conflict of interest if it is declared at the earliest possible opportunity and in any event, prior to the submission of the Tender, and can therefore be managed by the </w:t>
      </w:r>
      <w:r w:rsidR="00C61865">
        <w:t>Trust</w:t>
      </w:r>
      <w:r>
        <w:t xml:space="preserve"> in an open and transparent way.</w:t>
      </w:r>
    </w:p>
    <w:p w14:paraId="01EB8326" w14:textId="1AA12D3E" w:rsidR="002C0D70" w:rsidRDefault="002C0D70" w:rsidP="002C0D70">
      <w:pPr>
        <w:pStyle w:val="Level2"/>
        <w:numPr>
          <w:ilvl w:val="0"/>
          <w:numId w:val="0"/>
        </w:numPr>
        <w:ind w:left="720"/>
      </w:pPr>
      <w:r>
        <w:t xml:space="preserve">Please note that, in general, involvement of a Supplier in Preliminary Market Engagement carried out by the </w:t>
      </w:r>
      <w:r w:rsidR="00C61865">
        <w:t>Trust</w:t>
      </w:r>
      <w:r>
        <w:t xml:space="preserve"> should not represent a conflict of interest. </w:t>
      </w:r>
    </w:p>
    <w:p w14:paraId="4312F59D" w14:textId="74DFA86B" w:rsidR="002C0D70" w:rsidRDefault="002C0D70" w:rsidP="00AA0F4D">
      <w:pPr>
        <w:pStyle w:val="Level2"/>
        <w:numPr>
          <w:ilvl w:val="1"/>
          <w:numId w:val="29"/>
        </w:numPr>
      </w:pPr>
      <w:r>
        <w:t xml:space="preserve">Suppliers must notify the </w:t>
      </w:r>
      <w:r w:rsidR="00C61865">
        <w:t>Trust</w:t>
      </w:r>
      <w:r>
        <w:t xml:space="preserve"> immediately of any circumstances, including personal, financial and business activities that will, or might, give rise to a conflict of interest by taking part in this Procurement or if awarded the Contract. Such disclosure shall also be made in respect of any Consortium members and Sub-Contractors proposed by the Supplier. Where Suppliers identify any potential conflicts of interest, they should state how they intend to address such conflicts of interest. </w:t>
      </w:r>
    </w:p>
    <w:p w14:paraId="49656A56" w14:textId="435D4EB7" w:rsidR="002C0D70" w:rsidRDefault="002C0D70" w:rsidP="00AA0F4D">
      <w:pPr>
        <w:pStyle w:val="Level2"/>
        <w:numPr>
          <w:ilvl w:val="1"/>
          <w:numId w:val="29"/>
        </w:numPr>
      </w:pPr>
      <w:r>
        <w:t xml:space="preserve">In the event of any actual, potential or perceived conflict of interest, the </w:t>
      </w:r>
      <w:r w:rsidR="00C61865">
        <w:t>Trust</w:t>
      </w:r>
      <w:r>
        <w:t xml:space="preserve"> shall in its absolute discretion decide on the appropriate course of action. The </w:t>
      </w:r>
      <w:r w:rsidR="00C61865">
        <w:t>Trust</w:t>
      </w:r>
      <w:r>
        <w:t xml:space="preserve"> reserves the right to:</w:t>
      </w:r>
    </w:p>
    <w:p w14:paraId="52AD436D" w14:textId="10E63C3D" w:rsidR="002C0D70" w:rsidRDefault="002C0D70" w:rsidP="00AA0F4D">
      <w:pPr>
        <w:pStyle w:val="Level3"/>
        <w:numPr>
          <w:ilvl w:val="2"/>
          <w:numId w:val="35"/>
        </w:numPr>
      </w:pPr>
      <w:r>
        <w:t xml:space="preserve">exclude any Supplier that fails to notify the </w:t>
      </w:r>
      <w:r w:rsidR="00C61865">
        <w:t>Trust</w:t>
      </w:r>
      <w:r>
        <w:t xml:space="preserve"> of an actual, potential or perceived conflict of interest, or where an actual conflict of interest exists;</w:t>
      </w:r>
    </w:p>
    <w:p w14:paraId="5C0092CC" w14:textId="0FADB419" w:rsidR="002C0D70" w:rsidRDefault="002C0D70" w:rsidP="00AA0F4D">
      <w:pPr>
        <w:pStyle w:val="Level3"/>
        <w:numPr>
          <w:ilvl w:val="2"/>
          <w:numId w:val="54"/>
        </w:numPr>
      </w:pPr>
      <w:r>
        <w:t xml:space="preserve">request further information from any Supplier and require any Supplier to take reasonable steps to mitigate a conflict of interest. This may include requiring any Supplier to enter into a specific conflict of interest agreement with the </w:t>
      </w:r>
      <w:r w:rsidR="00C61865">
        <w:t>Trust</w:t>
      </w:r>
      <w:r>
        <w:t>. Failure to do so may result in the Supplier being excluded from participating in, or progressing as part of, the Procurement process; and</w:t>
      </w:r>
    </w:p>
    <w:p w14:paraId="1D0C9306" w14:textId="3F99BE02" w:rsidR="002C0D70" w:rsidRDefault="002C0D70" w:rsidP="00AF0DFE">
      <w:pPr>
        <w:pStyle w:val="Level3"/>
      </w:pPr>
      <w:r>
        <w:t xml:space="preserve">exclude the Supplier from participating in, or progressing as part of, the Procurement process if the </w:t>
      </w:r>
      <w:r w:rsidR="00C61865">
        <w:t>Trust</w:t>
      </w:r>
      <w:r>
        <w:t xml:space="preserve"> considers that an actual, potential or perceived conflict of interest puts a supplier at an unfair advantage in relation to the award of the Contract and either:</w:t>
      </w:r>
    </w:p>
    <w:p w14:paraId="06710AC6" w14:textId="2A7E2165" w:rsidR="002C0D70" w:rsidRDefault="002C0D70" w:rsidP="00AF0DFE">
      <w:pPr>
        <w:pStyle w:val="Level4"/>
      </w:pPr>
      <w:r>
        <w:t xml:space="preserve">the advantage cannot be avoided; or </w:t>
      </w:r>
    </w:p>
    <w:p w14:paraId="39B70D3F" w14:textId="255A0442" w:rsidR="002C0D70" w:rsidRDefault="002C0D70" w:rsidP="00AF0DFE">
      <w:pPr>
        <w:pStyle w:val="Level4"/>
      </w:pPr>
      <w:r>
        <w:t xml:space="preserve">the Supplier will not take steps that the </w:t>
      </w:r>
      <w:r w:rsidR="00C61865">
        <w:t>Trust</w:t>
      </w:r>
      <w:r>
        <w:t xml:space="preserve"> considers necessary in order to not put it at an unfair advantage.</w:t>
      </w:r>
    </w:p>
    <w:p w14:paraId="3E83F005" w14:textId="0118F1E3" w:rsidR="002C0D70" w:rsidRDefault="002C0D70" w:rsidP="00AA0F4D">
      <w:pPr>
        <w:pStyle w:val="Level2"/>
        <w:numPr>
          <w:ilvl w:val="1"/>
          <w:numId w:val="29"/>
        </w:numPr>
      </w:pPr>
      <w:r>
        <w:t xml:space="preserve">The </w:t>
      </w:r>
      <w:r w:rsidR="00C61865">
        <w:t>Trust</w:t>
      </w:r>
      <w:r>
        <w:t xml:space="preserve"> strongly encourages Suppliers to contact the </w:t>
      </w:r>
      <w:r w:rsidR="00C61865">
        <w:t>Trust</w:t>
      </w:r>
      <w:r>
        <w:t xml:space="preserve"> as soon as possible should it have any concerns regarding actual, potential or perceived conflicts of interest. </w:t>
      </w:r>
    </w:p>
    <w:p w14:paraId="669BCA41" w14:textId="77777777" w:rsidR="002C0D70" w:rsidRPr="002C0D70" w:rsidRDefault="002C0D70" w:rsidP="002C0D70">
      <w:pPr>
        <w:pStyle w:val="Level2"/>
        <w:numPr>
          <w:ilvl w:val="0"/>
          <w:numId w:val="0"/>
        </w:numPr>
        <w:rPr>
          <w:b/>
          <w:bCs/>
        </w:rPr>
      </w:pPr>
      <w:r w:rsidRPr="002C0D70">
        <w:rPr>
          <w:b/>
          <w:bCs/>
        </w:rPr>
        <w:t xml:space="preserve">Intellectual property </w:t>
      </w:r>
    </w:p>
    <w:p w14:paraId="01AB02AC" w14:textId="0D02FE93" w:rsidR="002C0D70" w:rsidRDefault="002C0D70" w:rsidP="00AA0F4D">
      <w:pPr>
        <w:pStyle w:val="Level2"/>
        <w:numPr>
          <w:ilvl w:val="1"/>
          <w:numId w:val="29"/>
        </w:numPr>
      </w:pPr>
      <w:r>
        <w:t xml:space="preserve">Suppliers are reminded that all intellectual property rights, including copyright, in the documents and materials supplied by the </w:t>
      </w:r>
      <w:r w:rsidR="00C61865">
        <w:t>Trust</w:t>
      </w:r>
      <w:r>
        <w:t xml:space="preserve"> and/or its advisers in this Procurement, in whatever format, belong to the </w:t>
      </w:r>
      <w:r w:rsidR="00C61865">
        <w:t>Trust</w:t>
      </w:r>
      <w:r>
        <w:t xml:space="preserve">, its advisers or the relevant owner/licensor. Suppliers shall not copy, reproduce, distribute or otherwise make available any part of these documents to any third party (except for the purpose of preparing a submission) </w:t>
      </w:r>
      <w:r>
        <w:lastRenderedPageBreak/>
        <w:t xml:space="preserve">without the prior written consent of the </w:t>
      </w:r>
      <w:r w:rsidR="00C61865">
        <w:t>Trust</w:t>
      </w:r>
      <w:r>
        <w:t xml:space="preserve">. All documentation supplied by the </w:t>
      </w:r>
      <w:r w:rsidR="00C61865">
        <w:t>Trust</w:t>
      </w:r>
      <w:r>
        <w:t xml:space="preserve"> in relation to this Procurement must be returned or destroyed on demand, without any copies being retained by Suppliers.</w:t>
      </w:r>
    </w:p>
    <w:p w14:paraId="189238E8" w14:textId="77777777" w:rsidR="002C0D70" w:rsidRPr="002C0D70" w:rsidRDefault="002C0D70" w:rsidP="002C0D70">
      <w:pPr>
        <w:pStyle w:val="Level2"/>
        <w:numPr>
          <w:ilvl w:val="0"/>
          <w:numId w:val="0"/>
        </w:numPr>
        <w:rPr>
          <w:b/>
          <w:bCs/>
        </w:rPr>
      </w:pPr>
      <w:r w:rsidRPr="002C0D70">
        <w:rPr>
          <w:b/>
          <w:bCs/>
        </w:rPr>
        <w:t>Anti-competitive behaviour</w:t>
      </w:r>
    </w:p>
    <w:p w14:paraId="3C9DED82" w14:textId="18D0B444" w:rsidR="002C0D70" w:rsidRDefault="002C0D70" w:rsidP="00AA0F4D">
      <w:pPr>
        <w:pStyle w:val="Level2"/>
        <w:numPr>
          <w:ilvl w:val="1"/>
          <w:numId w:val="29"/>
        </w:numPr>
      </w:pPr>
      <w:r>
        <w:t xml:space="preserve">Suppliers are reminded of their obligations under applicable competition laws. The </w:t>
      </w:r>
      <w:r w:rsidR="00C61865">
        <w:t>Trust</w:t>
      </w:r>
      <w:r>
        <w:t xml:space="preserve"> may require evidence from Suppliers that their arrangements are not anti-competitive and reserves the right to require any Supplier to comply with any reasonable measures which may be needed to verify that no anti-competitive arrangements are in place.</w:t>
      </w:r>
    </w:p>
    <w:p w14:paraId="11AD5AD0" w14:textId="07D48CBF" w:rsidR="002C0D70" w:rsidRDefault="002C0D70" w:rsidP="00AA0F4D">
      <w:pPr>
        <w:pStyle w:val="Level2"/>
        <w:numPr>
          <w:ilvl w:val="1"/>
          <w:numId w:val="29"/>
        </w:numPr>
      </w:pPr>
      <w:r>
        <w:t xml:space="preserve">Any evidence of anti-competitive behaviour may result in a Supplier being disqualified from the Procurement. The </w:t>
      </w:r>
      <w:r w:rsidR="00C61865">
        <w:t>Trust</w:t>
      </w:r>
      <w:r>
        <w:t xml:space="preserve"> also reserves the right to refer any suspected breaches of applicable competition laws to the relevant authorities including, but not limited to, the Competition and Markets Authority and the Serious Fraud Office. </w:t>
      </w:r>
    </w:p>
    <w:p w14:paraId="42819516" w14:textId="77777777" w:rsidR="002C0D70" w:rsidRDefault="002C0D70" w:rsidP="00AA0F4D">
      <w:pPr>
        <w:pStyle w:val="Level2"/>
        <w:numPr>
          <w:ilvl w:val="1"/>
          <w:numId w:val="29"/>
        </w:numPr>
      </w:pPr>
      <w:r>
        <w:t>Suppliers should note that anti-competitive behaviour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00413753" w14:textId="77777777" w:rsidR="002C0D70" w:rsidRPr="002C0D70" w:rsidRDefault="002C0D70" w:rsidP="002C0D70">
      <w:pPr>
        <w:pStyle w:val="Level2"/>
        <w:numPr>
          <w:ilvl w:val="0"/>
          <w:numId w:val="0"/>
        </w:numPr>
        <w:rPr>
          <w:b/>
          <w:bCs/>
        </w:rPr>
      </w:pPr>
      <w:r w:rsidRPr="002C0D70">
        <w:rPr>
          <w:b/>
          <w:bCs/>
        </w:rPr>
        <w:t xml:space="preserve">Contract </w:t>
      </w:r>
    </w:p>
    <w:p w14:paraId="60F425D2" w14:textId="756128B5" w:rsidR="002C0D70" w:rsidRDefault="002C0D70" w:rsidP="00AA0F4D">
      <w:pPr>
        <w:pStyle w:val="Level2"/>
        <w:numPr>
          <w:ilvl w:val="1"/>
          <w:numId w:val="29"/>
        </w:numPr>
      </w:pPr>
      <w:r>
        <w:t xml:space="preserve">A tender submission is an offer to enter into a contract on the terms of the contents of the submission. Notification of an award decision does not constitute acceptance by the </w:t>
      </w:r>
      <w:r w:rsidR="00C61865">
        <w:t>Trust</w:t>
      </w:r>
      <w:r>
        <w:t xml:space="preserve">. Any document submitted by a Supplier shall only have contractual effect when it is contained within an executed written contract. </w:t>
      </w:r>
    </w:p>
    <w:p w14:paraId="115BCBC0" w14:textId="26012250" w:rsidR="002C0D70" w:rsidRDefault="002C0D70" w:rsidP="00AA0F4D">
      <w:pPr>
        <w:pStyle w:val="Level2"/>
        <w:numPr>
          <w:ilvl w:val="1"/>
          <w:numId w:val="29"/>
        </w:numPr>
      </w:pPr>
      <w:r>
        <w:t xml:space="preserve">The </w:t>
      </w:r>
      <w:r w:rsidR="00C61865">
        <w:t>Trust</w:t>
      </w:r>
      <w:r>
        <w:t xml:space="preserve"> shall not be committed to any course of action as a result of (without limitation):</w:t>
      </w:r>
    </w:p>
    <w:p w14:paraId="09A43A2D" w14:textId="1E66F098" w:rsidR="002C0D70" w:rsidRDefault="002C0D70" w:rsidP="00AA0F4D">
      <w:pPr>
        <w:pStyle w:val="Level3"/>
        <w:numPr>
          <w:ilvl w:val="2"/>
          <w:numId w:val="36"/>
        </w:numPr>
      </w:pPr>
      <w:r>
        <w:t xml:space="preserve">issuing this (or any) ITT; </w:t>
      </w:r>
    </w:p>
    <w:p w14:paraId="7C589760" w14:textId="6FA88BD8" w:rsidR="002C0D70" w:rsidRDefault="002C0D70" w:rsidP="00AA0F4D">
      <w:pPr>
        <w:pStyle w:val="Level3"/>
        <w:numPr>
          <w:ilvl w:val="2"/>
          <w:numId w:val="53"/>
        </w:numPr>
      </w:pPr>
      <w:r>
        <w:t>communicating with a Supplier or a Supplier’s representatives in respect of this Procurement; or</w:t>
      </w:r>
    </w:p>
    <w:p w14:paraId="6DB44591" w14:textId="2D0EEB30" w:rsidR="002C0D70" w:rsidRDefault="002C0D70" w:rsidP="00AF0DFE">
      <w:pPr>
        <w:pStyle w:val="Level3"/>
      </w:pPr>
      <w:r>
        <w:t xml:space="preserve">any other communication between the </w:t>
      </w:r>
      <w:r w:rsidR="00C61865">
        <w:t>Trust</w:t>
      </w:r>
      <w:r>
        <w:t xml:space="preserve"> (whether directly or by its agents or representatives) and any other party.</w:t>
      </w:r>
    </w:p>
    <w:p w14:paraId="37DDCA15" w14:textId="77777777" w:rsidR="002C0D70" w:rsidRPr="002C0D70" w:rsidRDefault="002C0D70" w:rsidP="002C0D70">
      <w:pPr>
        <w:pStyle w:val="Level2"/>
        <w:numPr>
          <w:ilvl w:val="0"/>
          <w:numId w:val="0"/>
        </w:numPr>
        <w:ind w:left="720" w:hanging="720"/>
        <w:rPr>
          <w:b/>
          <w:bCs/>
        </w:rPr>
      </w:pPr>
      <w:r w:rsidRPr="002C0D70">
        <w:rPr>
          <w:b/>
          <w:bCs/>
        </w:rPr>
        <w:t>Tender validity</w:t>
      </w:r>
    </w:p>
    <w:p w14:paraId="529E4B97" w14:textId="00261F9B" w:rsidR="002C0D70" w:rsidRDefault="002C0D70" w:rsidP="00AA0F4D">
      <w:pPr>
        <w:pStyle w:val="Level2"/>
        <w:numPr>
          <w:ilvl w:val="1"/>
          <w:numId w:val="29"/>
        </w:numPr>
      </w:pPr>
      <w:r>
        <w:t xml:space="preserve">The Supplier’s Tender response must remain valid for acceptance for a period of </w:t>
      </w:r>
      <w:r w:rsidRPr="00F145E2">
        <w:t>90 days</w:t>
      </w:r>
      <w:r w:rsidRPr="008B3536">
        <w:t xml:space="preserve"> from</w:t>
      </w:r>
      <w:r>
        <w:t xml:space="preserve"> the date of its submission or until any procurement challenge/s have been resolved. </w:t>
      </w:r>
    </w:p>
    <w:p w14:paraId="1DC6B008" w14:textId="77777777" w:rsidR="002C0D70" w:rsidRPr="002C0D70" w:rsidRDefault="002C0D70" w:rsidP="002C0D70">
      <w:pPr>
        <w:pStyle w:val="Level2"/>
        <w:numPr>
          <w:ilvl w:val="0"/>
          <w:numId w:val="0"/>
        </w:numPr>
        <w:rPr>
          <w:b/>
          <w:bCs/>
        </w:rPr>
      </w:pPr>
      <w:r w:rsidRPr="002C0D70">
        <w:rPr>
          <w:b/>
          <w:bCs/>
        </w:rPr>
        <w:t xml:space="preserve">Supplier withdrawal </w:t>
      </w:r>
    </w:p>
    <w:p w14:paraId="6A5BE404" w14:textId="51973B89" w:rsidR="002C0D70" w:rsidRDefault="002C0D70" w:rsidP="00AA0F4D">
      <w:pPr>
        <w:pStyle w:val="Level2"/>
        <w:numPr>
          <w:ilvl w:val="1"/>
          <w:numId w:val="29"/>
        </w:numPr>
      </w:pPr>
      <w:r>
        <w:t xml:space="preserve">Suppliers may withdraw from the Procurement at any time by providing written notification to the </w:t>
      </w:r>
      <w:r w:rsidR="00C61865">
        <w:t>Trust</w:t>
      </w:r>
      <w:r>
        <w:t>.</w:t>
      </w:r>
    </w:p>
    <w:p w14:paraId="624767BC" w14:textId="77777777" w:rsidR="002C0D70" w:rsidRPr="002C0D70" w:rsidRDefault="002C0D70" w:rsidP="002C0D70">
      <w:pPr>
        <w:pStyle w:val="Level2"/>
        <w:numPr>
          <w:ilvl w:val="0"/>
          <w:numId w:val="0"/>
        </w:numPr>
        <w:rPr>
          <w:b/>
          <w:bCs/>
        </w:rPr>
      </w:pPr>
      <w:r w:rsidRPr="002C0D70">
        <w:rPr>
          <w:b/>
          <w:bCs/>
        </w:rPr>
        <w:t>Supplier eligibility</w:t>
      </w:r>
    </w:p>
    <w:p w14:paraId="686381EB" w14:textId="77777777" w:rsidR="002C0D70" w:rsidRDefault="002C0D70" w:rsidP="00AA0F4D">
      <w:pPr>
        <w:pStyle w:val="Level2"/>
        <w:numPr>
          <w:ilvl w:val="1"/>
          <w:numId w:val="29"/>
        </w:numPr>
      </w:pPr>
      <w:r>
        <w:t>Suppliers are reminded that the eligibility requirements in this document, Tender Notice and all other associated tender documents apply to the Procurement at all times.</w:t>
      </w:r>
    </w:p>
    <w:p w14:paraId="4C7C006B" w14:textId="08F04865" w:rsidR="002C0D70" w:rsidRDefault="002C0D70" w:rsidP="00AA0F4D">
      <w:pPr>
        <w:pStyle w:val="Level2"/>
        <w:numPr>
          <w:ilvl w:val="1"/>
          <w:numId w:val="29"/>
        </w:numPr>
      </w:pPr>
      <w:r>
        <w:t xml:space="preserve">The </w:t>
      </w:r>
      <w:r w:rsidR="00C61865">
        <w:t>Trust</w:t>
      </w:r>
      <w:r>
        <w:t xml:space="preserve"> reserves the right to require any Supplier to provide such further information as the </w:t>
      </w:r>
      <w:r w:rsidR="00C61865">
        <w:t>Trust</w:t>
      </w:r>
      <w:r>
        <w:t xml:space="preserve"> may require (and for the avoidance of doubt, the </w:t>
      </w:r>
      <w:r w:rsidR="00C61865">
        <w:t>Trust</w:t>
      </w:r>
      <w:r>
        <w:t xml:space="preserve"> may make multiple requests) as to any issue addressed in the ITTs, including, but not limited to, the economic and financial standing of the Supplier at any stage of the Procurement and prior to the notification of the award decision and/or the award of the contract.</w:t>
      </w:r>
    </w:p>
    <w:p w14:paraId="4C28DFDD" w14:textId="77777777" w:rsidR="002C0D70" w:rsidRDefault="002C0D70" w:rsidP="00AA0F4D">
      <w:pPr>
        <w:pStyle w:val="Level2"/>
        <w:numPr>
          <w:ilvl w:val="1"/>
          <w:numId w:val="29"/>
        </w:numPr>
      </w:pPr>
      <w:r>
        <w:lastRenderedPageBreak/>
        <w:t>Throughout the Procurement process and until the point where any Contract is signed, Suppliers must disclose if there has been:</w:t>
      </w:r>
    </w:p>
    <w:p w14:paraId="5720F6B4" w14:textId="77777777" w:rsidR="002C0D70" w:rsidRDefault="002C0D70" w:rsidP="00AA0F4D">
      <w:pPr>
        <w:pStyle w:val="Level3"/>
        <w:numPr>
          <w:ilvl w:val="2"/>
          <w:numId w:val="37"/>
        </w:numPr>
      </w:pPr>
      <w:r>
        <w:t>any change of circumstance where a change in the structure, control, composition or membership of a Supplier or an organisation that a Supplier has relied upon to meet the Conditions of Participation takes place; or</w:t>
      </w:r>
    </w:p>
    <w:p w14:paraId="26A533EE" w14:textId="77777777" w:rsidR="002C0D70" w:rsidRDefault="002C0D70" w:rsidP="00AA0F4D">
      <w:pPr>
        <w:pStyle w:val="Level3"/>
        <w:numPr>
          <w:ilvl w:val="2"/>
          <w:numId w:val="64"/>
        </w:numPr>
      </w:pPr>
      <w:r>
        <w:t xml:space="preserve">any change in the information that the Supplier has provided in its response to this Procurement (including but not limited to arrangements in relation to any Associated Suppliers). </w:t>
      </w:r>
    </w:p>
    <w:p w14:paraId="2AC5F174" w14:textId="31D3DE23" w:rsidR="002C0D70" w:rsidRDefault="002C0D70" w:rsidP="00AA0F4D">
      <w:pPr>
        <w:pStyle w:val="Level2"/>
        <w:numPr>
          <w:ilvl w:val="1"/>
          <w:numId w:val="29"/>
        </w:numPr>
      </w:pPr>
      <w:r>
        <w:t xml:space="preserve">The </w:t>
      </w:r>
      <w:r w:rsidR="00C61865">
        <w:t>Trust</w:t>
      </w:r>
      <w:r>
        <w:t xml:space="preserve"> must be informed of the change by the Supplier immediately after it occurs and the </w:t>
      </w:r>
      <w:r w:rsidR="00C61865">
        <w:t>Trust</w:t>
      </w:r>
      <w:r>
        <w:t xml:space="preserve"> reserves the right to re-evaluate the relevant Conditions of Participation response and exclude the Supplier where the Conditions of Participation are no longer met at any point prior to signing of a Contract.</w:t>
      </w:r>
    </w:p>
    <w:p w14:paraId="06CCA744" w14:textId="77777777" w:rsidR="002C0D70" w:rsidRDefault="002C0D70" w:rsidP="00AA0F4D">
      <w:pPr>
        <w:pStyle w:val="Level2"/>
        <w:numPr>
          <w:ilvl w:val="1"/>
          <w:numId w:val="29"/>
        </w:numPr>
      </w:pPr>
      <w:r>
        <w:t>The duty to disclose set out above extends to any company in the same group as the Supplier (including but not limited to parent, subsidiary and sister companies, and companies with common shareholders whether direct or indirect and parties with whom the Supplier is associated in respect of this Tender) where that company has been relied upon in respect of any aspect of the Conditions of Participation.</w:t>
      </w:r>
    </w:p>
    <w:p w14:paraId="7439910D" w14:textId="52A34CEF" w:rsidR="002C0D70" w:rsidRDefault="002C0D70" w:rsidP="00AA0F4D">
      <w:pPr>
        <w:pStyle w:val="Level2"/>
        <w:numPr>
          <w:ilvl w:val="1"/>
          <w:numId w:val="29"/>
        </w:numPr>
      </w:pPr>
      <w:r>
        <w:t xml:space="preserve">Where any change, misconduct or complaint is disclosed or should have been disclosed that may impact the Supplier’s Tender, the </w:t>
      </w:r>
      <w:r w:rsidR="00C61865">
        <w:t>Trust</w:t>
      </w:r>
      <w:r>
        <w:t xml:space="preserve"> reserves the right to take such action as it deems appropriate in the light of its assessment of the updated information, including (but not limited to) excluding the Supplier concerned from the Procurement. The </w:t>
      </w:r>
      <w:r w:rsidR="00C61865">
        <w:t>Trust</w:t>
      </w:r>
      <w:r>
        <w:t xml:space="preserve"> may seek additional information from the Supplier or other competent authorities where the </w:t>
      </w:r>
      <w:r w:rsidR="00C61865">
        <w:t>Trust</w:t>
      </w:r>
      <w:r>
        <w:t xml:space="preserve"> deems it necessary to make a decision on eligibility and compliance with this ITT.</w:t>
      </w:r>
    </w:p>
    <w:p w14:paraId="5F7E8626" w14:textId="77777777" w:rsidR="002C0D70" w:rsidRPr="002C0D70" w:rsidRDefault="002C0D70" w:rsidP="002C0D70">
      <w:pPr>
        <w:pStyle w:val="Level2"/>
        <w:numPr>
          <w:ilvl w:val="0"/>
          <w:numId w:val="0"/>
        </w:numPr>
        <w:rPr>
          <w:b/>
          <w:bCs/>
        </w:rPr>
      </w:pPr>
      <w:r w:rsidRPr="002C0D70">
        <w:rPr>
          <w:b/>
          <w:bCs/>
        </w:rPr>
        <w:t>Accuracy of information</w:t>
      </w:r>
    </w:p>
    <w:p w14:paraId="13ED4556" w14:textId="4D707F3B" w:rsidR="002C0D70" w:rsidRDefault="002C0D70" w:rsidP="00AA0F4D">
      <w:pPr>
        <w:pStyle w:val="Level2"/>
        <w:numPr>
          <w:ilvl w:val="1"/>
          <w:numId w:val="29"/>
        </w:numPr>
      </w:pPr>
      <w:r>
        <w:t xml:space="preserve">This ITT (including all its appendices, attachments and schedules) has been prepared on behalf of the </w:t>
      </w:r>
      <w:r w:rsidR="00C61865">
        <w:t>Trust</w:t>
      </w:r>
      <w:r>
        <w:t xml:space="preserve"> for the sole purpose of enabling Suppliers to submit Tenders. No guarantee can be given however, and no representation is made, as to the accuracy of information contained within it and it is each Supplier’s responsibility to obtain for itself at its own expense all information which it deems necessary or desirable for the preparation of its Tender. Neither the </w:t>
      </w:r>
      <w:r w:rsidR="00C61865">
        <w:t>Trust</w:t>
      </w:r>
      <w:r>
        <w:t xml:space="preserve"> nor any of its professional advisers accepts any liability, which might result from any inaccuracy of or omission from any such information. </w:t>
      </w:r>
    </w:p>
    <w:p w14:paraId="1089AC71" w14:textId="77777777" w:rsidR="002C0D70" w:rsidRPr="002C0D70" w:rsidRDefault="002C0D70" w:rsidP="002C0D70">
      <w:pPr>
        <w:pStyle w:val="Level2"/>
        <w:numPr>
          <w:ilvl w:val="0"/>
          <w:numId w:val="0"/>
        </w:numPr>
        <w:rPr>
          <w:b/>
          <w:bCs/>
        </w:rPr>
      </w:pPr>
      <w:r w:rsidRPr="002C0D70">
        <w:rPr>
          <w:b/>
          <w:bCs/>
        </w:rPr>
        <w:t xml:space="preserve">Supplier warranties </w:t>
      </w:r>
    </w:p>
    <w:p w14:paraId="0CA9275F" w14:textId="5179AF53" w:rsidR="002C0D70" w:rsidRDefault="002C0D70" w:rsidP="00AA0F4D">
      <w:pPr>
        <w:pStyle w:val="Level2"/>
        <w:numPr>
          <w:ilvl w:val="1"/>
          <w:numId w:val="29"/>
        </w:numPr>
      </w:pPr>
      <w:r>
        <w:t xml:space="preserve">In responding to this invitation, the Supplier warrants, represents and undertakes to the </w:t>
      </w:r>
      <w:r w:rsidR="00C61865">
        <w:t>Trust</w:t>
      </w:r>
      <w:r>
        <w:t xml:space="preserve"> </w:t>
      </w:r>
      <w:r w:rsidR="00C61865">
        <w:t>t</w:t>
      </w:r>
      <w:r>
        <w:t>hat:</w:t>
      </w:r>
    </w:p>
    <w:p w14:paraId="50582374" w14:textId="27FF7947" w:rsidR="002C0D70" w:rsidRDefault="002C0D70" w:rsidP="00AA0F4D">
      <w:pPr>
        <w:pStyle w:val="Level3"/>
        <w:numPr>
          <w:ilvl w:val="2"/>
          <w:numId w:val="38"/>
        </w:numPr>
      </w:pPr>
      <w:r>
        <w:t>it understands and has complied with the conditions set out in this document;</w:t>
      </w:r>
    </w:p>
    <w:p w14:paraId="6054FEF7" w14:textId="54C436CC" w:rsidR="002C0D70" w:rsidRDefault="002C0D70" w:rsidP="00AA0F4D">
      <w:pPr>
        <w:pStyle w:val="Level3"/>
        <w:numPr>
          <w:ilvl w:val="2"/>
          <w:numId w:val="65"/>
        </w:numPr>
      </w:pPr>
      <w:r>
        <w:t xml:space="preserve">all information, representations and other matters of fact communicated (whether in writing or otherwise) to the </w:t>
      </w:r>
      <w:r w:rsidR="00C61865">
        <w:t>Trust</w:t>
      </w:r>
      <w:r>
        <w:t xml:space="preserve"> by the Supplier, its staff or agents in connection with or arising out of the Procurement are true, complete and accurate in all respects, both as at the date communicated and as at the date of the submission of the response to this document;</w:t>
      </w:r>
    </w:p>
    <w:p w14:paraId="37C6442A" w14:textId="61452969" w:rsidR="002C0D70" w:rsidRDefault="002C0D70" w:rsidP="00AF0DFE">
      <w:pPr>
        <w:pStyle w:val="Level3"/>
      </w:pPr>
      <w:r>
        <w:t xml:space="preserve">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w:t>
      </w:r>
      <w:r w:rsidR="00C61865">
        <w:t>Trust</w:t>
      </w:r>
      <w:r>
        <w:t xml:space="preserve"> (with the exception of any information which is expressly warranted by the </w:t>
      </w:r>
      <w:r w:rsidR="00C61865">
        <w:t>Trust</w:t>
      </w:r>
      <w:r>
        <w:t>); and</w:t>
      </w:r>
    </w:p>
    <w:p w14:paraId="4C31D174" w14:textId="5FB06219" w:rsidR="002C0D70" w:rsidRDefault="002C0D70" w:rsidP="00AF0DFE">
      <w:pPr>
        <w:pStyle w:val="Level3"/>
      </w:pPr>
      <w:r>
        <w:lastRenderedPageBreak/>
        <w:t xml:space="preserve">it has full power and authority to respond to this document and to perform the obligations in relation to the contract and will, if requested, promptly produce evidence of such to the </w:t>
      </w:r>
      <w:r w:rsidR="00C61865">
        <w:t>Trust</w:t>
      </w:r>
      <w:r>
        <w:t xml:space="preserve">. </w:t>
      </w:r>
    </w:p>
    <w:p w14:paraId="2E3D32F2" w14:textId="77777777" w:rsidR="002C0D70" w:rsidRDefault="002C0D70" w:rsidP="00AA0F4D">
      <w:pPr>
        <w:pStyle w:val="Level2"/>
        <w:numPr>
          <w:ilvl w:val="1"/>
          <w:numId w:val="29"/>
        </w:numPr>
      </w:pPr>
      <w:r>
        <w:t>Suppliers should note that the potential consequences of providing incomplete, inaccurate or misleading information include that:</w:t>
      </w:r>
    </w:p>
    <w:p w14:paraId="7CD845A7" w14:textId="15B465B7" w:rsidR="002C0D70" w:rsidRDefault="002C0D70" w:rsidP="00AA0F4D">
      <w:pPr>
        <w:pStyle w:val="Level3"/>
        <w:numPr>
          <w:ilvl w:val="2"/>
          <w:numId w:val="39"/>
        </w:numPr>
      </w:pPr>
      <w:r>
        <w:t xml:space="preserve">the </w:t>
      </w:r>
      <w:r w:rsidR="00C61865">
        <w:t>Trust</w:t>
      </w:r>
      <w:r>
        <w:t xml:space="preserve"> may exclude the Supplier from participating in this Procurement;</w:t>
      </w:r>
    </w:p>
    <w:p w14:paraId="0FF50C69" w14:textId="68DC0D48" w:rsidR="002C0D70" w:rsidRDefault="002C0D70" w:rsidP="00AA0F4D">
      <w:pPr>
        <w:pStyle w:val="Level3"/>
        <w:numPr>
          <w:ilvl w:val="2"/>
          <w:numId w:val="66"/>
        </w:numPr>
      </w:pPr>
      <w:r>
        <w:t>the Supplier may be excluded from bidding for contracts under Schedule 7, Paragraph 13 of the Act;</w:t>
      </w:r>
    </w:p>
    <w:p w14:paraId="46E9CB9F" w14:textId="02BCBD7C" w:rsidR="002C0D70" w:rsidRDefault="002C0D70" w:rsidP="00AF0DFE">
      <w:pPr>
        <w:pStyle w:val="Level3"/>
      </w:pPr>
      <w:r>
        <w:t xml:space="preserve">the </w:t>
      </w:r>
      <w:r w:rsidR="00C61865">
        <w:t>Trust</w:t>
      </w:r>
      <w:r>
        <w:t xml:space="preserve"> may rescind any resulting contract under the Misrepresentation Act 1967 and may sue the Supplier for damages; and</w:t>
      </w:r>
    </w:p>
    <w:p w14:paraId="12356470" w14:textId="27598E49" w:rsidR="002C0D70" w:rsidRDefault="002C0D70" w:rsidP="00AF0DFE">
      <w:pPr>
        <w:pStyle w:val="Level3"/>
      </w:pPr>
      <w:r>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p>
    <w:p w14:paraId="255ACFB7" w14:textId="77777777" w:rsidR="002C0D70" w:rsidRPr="002C0D70" w:rsidRDefault="002C0D70" w:rsidP="002C0D70">
      <w:pPr>
        <w:pStyle w:val="Level2"/>
        <w:numPr>
          <w:ilvl w:val="0"/>
          <w:numId w:val="0"/>
        </w:numPr>
        <w:ind w:left="720" w:hanging="720"/>
        <w:rPr>
          <w:b/>
          <w:bCs/>
        </w:rPr>
      </w:pPr>
      <w:r w:rsidRPr="002C0D70">
        <w:rPr>
          <w:b/>
          <w:bCs/>
        </w:rPr>
        <w:t>Third parties</w:t>
      </w:r>
    </w:p>
    <w:p w14:paraId="27DF6DB5" w14:textId="77777777" w:rsidR="002C0D70" w:rsidRDefault="002C0D70" w:rsidP="00AA0F4D">
      <w:pPr>
        <w:pStyle w:val="Level2"/>
        <w:numPr>
          <w:ilvl w:val="1"/>
          <w:numId w:val="29"/>
        </w:numPr>
      </w:pPr>
      <w:r>
        <w:t>Nothing in these terms is intended to confer any rights on any third party under the Contracts (Rights of Third Parties) Act 1999. This does not affect any right or remedy of any person which exists or is available apart from that Act.</w:t>
      </w:r>
    </w:p>
    <w:p w14:paraId="41808482" w14:textId="77777777" w:rsidR="002C0D70" w:rsidRPr="002C0D70" w:rsidRDefault="002C0D70" w:rsidP="002C0D70">
      <w:pPr>
        <w:pStyle w:val="Level2"/>
        <w:numPr>
          <w:ilvl w:val="0"/>
          <w:numId w:val="0"/>
        </w:numPr>
        <w:rPr>
          <w:b/>
          <w:bCs/>
        </w:rPr>
      </w:pPr>
      <w:r w:rsidRPr="002C0D70">
        <w:rPr>
          <w:b/>
          <w:bCs/>
        </w:rPr>
        <w:t>Applicable law</w:t>
      </w:r>
    </w:p>
    <w:p w14:paraId="7A683B33" w14:textId="77777777" w:rsidR="002C0D70" w:rsidRDefault="002C0D70" w:rsidP="00AA0F4D">
      <w:pPr>
        <w:pStyle w:val="Level2"/>
        <w:numPr>
          <w:ilvl w:val="1"/>
          <w:numId w:val="29"/>
        </w:numPr>
      </w:pPr>
      <w:r>
        <w:t xml:space="preserve">The law of England is applicable to this Procurement. </w:t>
      </w:r>
    </w:p>
    <w:p w14:paraId="0BB41AC7" w14:textId="77777777" w:rsidR="002C0D70" w:rsidRDefault="002C0D70" w:rsidP="00AA0F4D">
      <w:pPr>
        <w:pStyle w:val="Level2"/>
        <w:numPr>
          <w:ilvl w:val="1"/>
          <w:numId w:val="29"/>
        </w:numPr>
      </w:pPr>
      <w:r>
        <w:t>Suppliers must agree to submit to the exclusive jurisdiction of the Courts of England and Wales in relation to any dispute arising out of or in connection with this Procurement.</w:t>
      </w:r>
    </w:p>
    <w:p w14:paraId="1773F287" w14:textId="77777777" w:rsidR="002C0D70" w:rsidRDefault="002C0D70" w:rsidP="002C0D70">
      <w:pPr>
        <w:pStyle w:val="Level2"/>
        <w:numPr>
          <w:ilvl w:val="0"/>
          <w:numId w:val="0"/>
        </w:numPr>
      </w:pPr>
    </w:p>
    <w:p w14:paraId="562BDB4A" w14:textId="77777777" w:rsidR="002C0D70" w:rsidRDefault="002C0D70" w:rsidP="002C0D70">
      <w:pPr>
        <w:pStyle w:val="Level2"/>
        <w:numPr>
          <w:ilvl w:val="0"/>
          <w:numId w:val="0"/>
        </w:numPr>
        <w:ind w:left="720" w:hanging="720"/>
      </w:pPr>
    </w:p>
    <w:p w14:paraId="56BB627F" w14:textId="541B0134" w:rsidR="00911A7D" w:rsidRDefault="00911A7D">
      <w:pPr>
        <w:adjustRightInd/>
        <w:spacing w:after="160" w:line="259" w:lineRule="auto"/>
        <w:rPr>
          <w:rFonts w:eastAsia="Arial" w:cs="Arial"/>
        </w:rPr>
      </w:pPr>
      <w:r>
        <w:br w:type="page"/>
      </w:r>
    </w:p>
    <w:p w14:paraId="6000892E" w14:textId="1C5C7A31" w:rsidR="009F76CC" w:rsidRPr="00BE337C" w:rsidRDefault="00911A7D" w:rsidP="00BE337C">
      <w:pPr>
        <w:pStyle w:val="Level1Heading"/>
        <w:numPr>
          <w:ilvl w:val="0"/>
          <w:numId w:val="0"/>
        </w:numPr>
        <w:jc w:val="center"/>
      </w:pPr>
      <w:bookmarkStart w:id="13" w:name="_Toc197441911"/>
      <w:r>
        <w:lastRenderedPageBreak/>
        <w:t>APPENDIX B</w:t>
      </w:r>
      <w:r w:rsidRPr="00E5488A">
        <w:t xml:space="preserve"> </w:t>
      </w:r>
      <w:r>
        <w:t>–</w:t>
      </w:r>
      <w:r w:rsidRPr="00E5488A">
        <w:t xml:space="preserve"> </w:t>
      </w:r>
      <w:r>
        <w:t>SERVICE SPECIFICATION</w:t>
      </w:r>
      <w:bookmarkEnd w:id="13"/>
      <w:r>
        <w:t xml:space="preserve"> </w:t>
      </w:r>
    </w:p>
    <w:p w14:paraId="5307231C" w14:textId="18490B85" w:rsidR="005412E3" w:rsidRPr="008F2BAC" w:rsidRDefault="00BE337C" w:rsidP="00AA0F4D">
      <w:pPr>
        <w:numPr>
          <w:ilvl w:val="0"/>
          <w:numId w:val="71"/>
        </w:numPr>
        <w:pBdr>
          <w:top w:val="nil"/>
          <w:left w:val="nil"/>
          <w:bottom w:val="nil"/>
          <w:right w:val="nil"/>
          <w:between w:val="nil"/>
        </w:pBdr>
        <w:adjustRightInd/>
        <w:spacing w:after="160" w:line="259" w:lineRule="auto"/>
        <w:ind w:left="284" w:hanging="284"/>
        <w:rPr>
          <w:b/>
          <w:bCs/>
          <w:color w:val="000000"/>
        </w:rPr>
      </w:pPr>
      <w:r w:rsidRPr="008F2BAC">
        <w:rPr>
          <w:b/>
          <w:bCs/>
          <w:color w:val="000000"/>
        </w:rPr>
        <w:t>BACKGROUND</w:t>
      </w:r>
    </w:p>
    <w:p w14:paraId="2B0A09AC" w14:textId="3B7BBF29" w:rsidR="002C0D70" w:rsidRDefault="00BE337C" w:rsidP="00AA0F4D">
      <w:pPr>
        <w:numPr>
          <w:ilvl w:val="1"/>
          <w:numId w:val="71"/>
        </w:numPr>
        <w:pBdr>
          <w:top w:val="nil"/>
          <w:left w:val="nil"/>
          <w:bottom w:val="nil"/>
          <w:right w:val="nil"/>
          <w:between w:val="nil"/>
        </w:pBdr>
        <w:adjustRightInd/>
        <w:spacing w:after="160" w:line="259" w:lineRule="auto"/>
        <w:rPr>
          <w:color w:val="000000"/>
        </w:rPr>
      </w:pPr>
      <w:r w:rsidRPr="005412E3">
        <w:rPr>
          <w:color w:val="000000"/>
        </w:rPr>
        <w:t xml:space="preserve">The Armed Forces Covenant Fund Trust (the Trust) </w:t>
      </w:r>
      <w:r w:rsidR="007B1121" w:rsidRPr="005412E3">
        <w:rPr>
          <w:color w:val="000000"/>
        </w:rPr>
        <w:t xml:space="preserve">awards grants that support the </w:t>
      </w:r>
      <w:r w:rsidR="00FD2B6F">
        <w:rPr>
          <w:color w:val="000000"/>
        </w:rPr>
        <w:t>a</w:t>
      </w:r>
      <w:r w:rsidR="007B1121" w:rsidRPr="005412E3">
        <w:rPr>
          <w:color w:val="000000"/>
        </w:rPr>
        <w:t xml:space="preserve">rmed </w:t>
      </w:r>
      <w:r w:rsidR="00FD2B6F">
        <w:rPr>
          <w:color w:val="000000"/>
        </w:rPr>
        <w:t>f</w:t>
      </w:r>
      <w:r w:rsidR="007B1121" w:rsidRPr="005412E3">
        <w:rPr>
          <w:color w:val="000000"/>
        </w:rPr>
        <w:t>orces community.</w:t>
      </w:r>
      <w:r w:rsidR="0072158E" w:rsidRPr="005412E3">
        <w:rPr>
          <w:color w:val="000000"/>
        </w:rPr>
        <w:t xml:space="preserve"> The Trust is</w:t>
      </w:r>
      <w:r w:rsidR="007B1121" w:rsidRPr="005412E3">
        <w:rPr>
          <w:color w:val="000000"/>
        </w:rPr>
        <w:t xml:space="preserve"> both a charity and a Non-Departmental Public Body</w:t>
      </w:r>
      <w:r w:rsidR="00312959">
        <w:rPr>
          <w:color w:val="000000"/>
        </w:rPr>
        <w:t xml:space="preserve"> (</w:t>
      </w:r>
      <w:r w:rsidR="007B1121" w:rsidRPr="005412E3">
        <w:rPr>
          <w:color w:val="000000"/>
        </w:rPr>
        <w:t>NDPB</w:t>
      </w:r>
      <w:r w:rsidR="00312959">
        <w:rPr>
          <w:color w:val="000000"/>
        </w:rPr>
        <w:t>)</w:t>
      </w:r>
      <w:r w:rsidR="00C9583B" w:rsidRPr="005412E3">
        <w:rPr>
          <w:color w:val="000000"/>
        </w:rPr>
        <w:t xml:space="preserve">, </w:t>
      </w:r>
      <w:r w:rsidR="007B1121" w:rsidRPr="005412E3">
        <w:rPr>
          <w:color w:val="000000"/>
        </w:rPr>
        <w:t>deliver</w:t>
      </w:r>
      <w:r w:rsidR="00C9583B" w:rsidRPr="005412E3">
        <w:rPr>
          <w:color w:val="000000"/>
        </w:rPr>
        <w:t>ing</w:t>
      </w:r>
      <w:r w:rsidR="007B1121" w:rsidRPr="005412E3">
        <w:rPr>
          <w:color w:val="000000"/>
        </w:rPr>
        <w:t xml:space="preserve"> high impact </w:t>
      </w:r>
      <w:r w:rsidR="00C9583B" w:rsidRPr="005412E3">
        <w:rPr>
          <w:color w:val="000000"/>
        </w:rPr>
        <w:t xml:space="preserve">grant </w:t>
      </w:r>
      <w:r w:rsidR="007B1121" w:rsidRPr="005412E3">
        <w:rPr>
          <w:color w:val="000000"/>
        </w:rPr>
        <w:t>programmes</w:t>
      </w:r>
      <w:r w:rsidR="00690608">
        <w:rPr>
          <w:color w:val="000000"/>
        </w:rPr>
        <w:t>,</w:t>
      </w:r>
      <w:r w:rsidR="007B1121" w:rsidRPr="005412E3">
        <w:rPr>
          <w:color w:val="000000"/>
        </w:rPr>
        <w:t xml:space="preserve"> including administration of the £10 million Armed Forces Covenant Fund, each year.</w:t>
      </w:r>
      <w:r w:rsidR="006F23C9" w:rsidRPr="005412E3">
        <w:rPr>
          <w:color w:val="000000"/>
        </w:rPr>
        <w:t xml:space="preserve"> </w:t>
      </w:r>
      <w:r w:rsidR="007B1121" w:rsidRPr="005412E3">
        <w:rPr>
          <w:color w:val="000000"/>
        </w:rPr>
        <w:t>We also work with HM Government</w:t>
      </w:r>
      <w:r w:rsidR="00A90243">
        <w:rPr>
          <w:color w:val="000000"/>
        </w:rPr>
        <w:t>, particularly the MOD and the Office for Veterans</w:t>
      </w:r>
      <w:r w:rsidR="0035013D">
        <w:rPr>
          <w:color w:val="000000"/>
        </w:rPr>
        <w:t>’</w:t>
      </w:r>
      <w:r w:rsidR="00A90243">
        <w:rPr>
          <w:color w:val="000000"/>
        </w:rPr>
        <w:t xml:space="preserve"> Affairs</w:t>
      </w:r>
      <w:r w:rsidR="0035013D">
        <w:rPr>
          <w:color w:val="000000"/>
        </w:rPr>
        <w:t xml:space="preserve"> (OVA),</w:t>
      </w:r>
      <w:r w:rsidR="007B1121" w:rsidRPr="005412E3">
        <w:rPr>
          <w:color w:val="000000"/>
        </w:rPr>
        <w:t xml:space="preserve"> to run other funding programmes that have a positive impact on </w:t>
      </w:r>
      <w:r w:rsidR="005412E3" w:rsidRPr="005412E3">
        <w:rPr>
          <w:color w:val="000000"/>
        </w:rPr>
        <w:t>a</w:t>
      </w:r>
      <w:r w:rsidR="007B1121" w:rsidRPr="005412E3">
        <w:rPr>
          <w:color w:val="000000"/>
        </w:rPr>
        <w:t xml:space="preserve">rmed </w:t>
      </w:r>
      <w:r w:rsidR="005412E3" w:rsidRPr="005412E3">
        <w:rPr>
          <w:color w:val="000000"/>
        </w:rPr>
        <w:t>f</w:t>
      </w:r>
      <w:r w:rsidR="007B1121" w:rsidRPr="005412E3">
        <w:rPr>
          <w:color w:val="000000"/>
        </w:rPr>
        <w:t>orces communities.</w:t>
      </w:r>
      <w:r w:rsidR="00042CE0">
        <w:rPr>
          <w:color w:val="000000"/>
        </w:rPr>
        <w:t xml:space="preserve"> </w:t>
      </w:r>
      <w:r w:rsidR="0053234A">
        <w:rPr>
          <w:color w:val="000000"/>
        </w:rPr>
        <w:t>These armed forces communities include serving members</w:t>
      </w:r>
      <w:r w:rsidR="00BF5AF6">
        <w:rPr>
          <w:color w:val="000000"/>
        </w:rPr>
        <w:t xml:space="preserve"> of the UK armed forces (regulars and reservists</w:t>
      </w:r>
      <w:r w:rsidR="00856B43">
        <w:rPr>
          <w:color w:val="000000"/>
        </w:rPr>
        <w:t>) and their families, veterans</w:t>
      </w:r>
      <w:r w:rsidR="00B935DB">
        <w:rPr>
          <w:color w:val="000000"/>
        </w:rPr>
        <w:t xml:space="preserve"> and their families, and bereaved families and others affected by service.</w:t>
      </w:r>
      <w:r w:rsidR="00270046">
        <w:rPr>
          <w:color w:val="000000"/>
        </w:rPr>
        <w:t xml:space="preserve"> </w:t>
      </w:r>
      <w:r w:rsidR="00270046" w:rsidRPr="003C72D8">
        <w:rPr>
          <w:color w:val="000000"/>
        </w:rPr>
        <w:t xml:space="preserve">In some of our programmes, the wider community around a base or in an area with an </w:t>
      </w:r>
      <w:r w:rsidR="00270046">
        <w:rPr>
          <w:color w:val="000000"/>
        </w:rPr>
        <w:t>a</w:t>
      </w:r>
      <w:r w:rsidR="00270046" w:rsidRPr="003C72D8">
        <w:rPr>
          <w:color w:val="000000"/>
        </w:rPr>
        <w:t xml:space="preserve">rmed </w:t>
      </w:r>
      <w:r w:rsidR="00270046">
        <w:rPr>
          <w:color w:val="000000"/>
        </w:rPr>
        <w:t>f</w:t>
      </w:r>
      <w:r w:rsidR="00270046" w:rsidRPr="003C72D8">
        <w:rPr>
          <w:color w:val="000000"/>
        </w:rPr>
        <w:t>orces population can also benefit.</w:t>
      </w:r>
    </w:p>
    <w:p w14:paraId="45BABBE3" w14:textId="6F06F38C" w:rsidR="002A4D28" w:rsidRDefault="002A4D28" w:rsidP="00AA0F4D">
      <w:pPr>
        <w:numPr>
          <w:ilvl w:val="1"/>
          <w:numId w:val="71"/>
        </w:numPr>
        <w:pBdr>
          <w:top w:val="nil"/>
          <w:left w:val="nil"/>
          <w:bottom w:val="nil"/>
          <w:right w:val="nil"/>
          <w:between w:val="nil"/>
        </w:pBdr>
        <w:adjustRightInd/>
        <w:spacing w:after="160" w:line="259" w:lineRule="auto"/>
        <w:rPr>
          <w:color w:val="000000"/>
        </w:rPr>
      </w:pPr>
      <w:r w:rsidRPr="002A4D28">
        <w:rPr>
          <w:color w:val="000000"/>
        </w:rPr>
        <w:t xml:space="preserve">All our grants are awarded through specific programmes. Each programme has an aim, which describes the change that we would like the funded projects to achieve. We develop our funding programmes based on evidence of challenges that people within the </w:t>
      </w:r>
      <w:r w:rsidR="009F3932">
        <w:rPr>
          <w:color w:val="000000"/>
        </w:rPr>
        <w:t>a</w:t>
      </w:r>
      <w:r w:rsidRPr="002A4D28">
        <w:rPr>
          <w:color w:val="000000"/>
        </w:rPr>
        <w:t xml:space="preserve">rmed </w:t>
      </w:r>
      <w:r w:rsidR="009F3932">
        <w:rPr>
          <w:color w:val="000000"/>
        </w:rPr>
        <w:t>f</w:t>
      </w:r>
      <w:r w:rsidRPr="002A4D28">
        <w:rPr>
          <w:color w:val="000000"/>
        </w:rPr>
        <w:t>orces community face, and where we think that funding from us would be able to make a significant difference to the problem.</w:t>
      </w:r>
      <w:r w:rsidR="009F3932">
        <w:rPr>
          <w:color w:val="000000"/>
        </w:rPr>
        <w:t xml:space="preserve"> </w:t>
      </w:r>
      <w:r w:rsidRPr="009F3932">
        <w:rPr>
          <w:color w:val="000000"/>
        </w:rPr>
        <w:t xml:space="preserve">We work with partners in government and in the charity sector to develop our </w:t>
      </w:r>
      <w:r w:rsidR="00350455" w:rsidRPr="009F3932">
        <w:rPr>
          <w:color w:val="000000"/>
        </w:rPr>
        <w:t>programmes and</w:t>
      </w:r>
      <w:r w:rsidRPr="009F3932">
        <w:rPr>
          <w:color w:val="000000"/>
        </w:rPr>
        <w:t xml:space="preserve"> often run programme consultations.</w:t>
      </w:r>
    </w:p>
    <w:p w14:paraId="40D20D69" w14:textId="32D4A730" w:rsidR="00350455" w:rsidRDefault="00350455" w:rsidP="00AA0F4D">
      <w:pPr>
        <w:numPr>
          <w:ilvl w:val="1"/>
          <w:numId w:val="71"/>
        </w:numPr>
        <w:pBdr>
          <w:top w:val="nil"/>
          <w:left w:val="nil"/>
          <w:bottom w:val="nil"/>
          <w:right w:val="nil"/>
          <w:between w:val="nil"/>
        </w:pBdr>
        <w:adjustRightInd/>
        <w:spacing w:after="160" w:line="259" w:lineRule="auto"/>
        <w:rPr>
          <w:color w:val="000000"/>
        </w:rPr>
      </w:pPr>
      <w:r w:rsidRPr="00350455">
        <w:rPr>
          <w:color w:val="000000"/>
        </w:rPr>
        <w:t xml:space="preserve">We’ve run some significant programmes exploring serious mental ill-health in </w:t>
      </w:r>
      <w:r>
        <w:rPr>
          <w:color w:val="000000"/>
        </w:rPr>
        <w:t>v</w:t>
      </w:r>
      <w:r w:rsidRPr="00350455">
        <w:rPr>
          <w:color w:val="000000"/>
        </w:rPr>
        <w:t xml:space="preserve">eterans, and how we might support families and their carers. We have funded programmes that support good mental health and tackle loneliness, and programmes to provide better support to </w:t>
      </w:r>
      <w:r w:rsidR="003201AE">
        <w:rPr>
          <w:color w:val="000000"/>
        </w:rPr>
        <w:t>a</w:t>
      </w:r>
      <w:r w:rsidRPr="00350455">
        <w:rPr>
          <w:color w:val="000000"/>
        </w:rPr>
        <w:t xml:space="preserve">rmed </w:t>
      </w:r>
      <w:r w:rsidR="003201AE">
        <w:rPr>
          <w:color w:val="000000"/>
        </w:rPr>
        <w:t>f</w:t>
      </w:r>
      <w:r w:rsidRPr="00350455">
        <w:rPr>
          <w:color w:val="000000"/>
        </w:rPr>
        <w:t>orces families.</w:t>
      </w:r>
      <w:r>
        <w:rPr>
          <w:color w:val="000000"/>
        </w:rPr>
        <w:t xml:space="preserve"> </w:t>
      </w:r>
      <w:r w:rsidRPr="00350455">
        <w:rPr>
          <w:color w:val="000000"/>
        </w:rPr>
        <w:t xml:space="preserve">We undertake vital impact work against all of the programmes we administer, </w:t>
      </w:r>
      <w:r w:rsidR="003201AE" w:rsidRPr="00350455">
        <w:rPr>
          <w:color w:val="000000"/>
        </w:rPr>
        <w:t>looking at the effectiveness of these programmes and the positive changes</w:t>
      </w:r>
      <w:r w:rsidR="003201AE">
        <w:rPr>
          <w:color w:val="000000"/>
        </w:rPr>
        <w:t xml:space="preserve"> </w:t>
      </w:r>
      <w:r w:rsidRPr="00350455">
        <w:rPr>
          <w:color w:val="000000"/>
        </w:rPr>
        <w:t>they have made.</w:t>
      </w:r>
    </w:p>
    <w:p w14:paraId="50555D4B" w14:textId="77777777" w:rsidR="00CA5D95" w:rsidRDefault="00521256" w:rsidP="00AA0F4D">
      <w:pPr>
        <w:numPr>
          <w:ilvl w:val="1"/>
          <w:numId w:val="71"/>
        </w:numPr>
        <w:pBdr>
          <w:top w:val="nil"/>
          <w:left w:val="nil"/>
          <w:bottom w:val="nil"/>
          <w:right w:val="nil"/>
          <w:between w:val="nil"/>
        </w:pBdr>
        <w:adjustRightInd/>
        <w:spacing w:after="160" w:line="259" w:lineRule="auto"/>
        <w:rPr>
          <w:color w:val="000000"/>
        </w:rPr>
      </w:pPr>
      <w:r>
        <w:rPr>
          <w:color w:val="000000"/>
        </w:rPr>
        <w:t xml:space="preserve">We use research and evidence </w:t>
      </w:r>
      <w:r w:rsidR="00D13B96">
        <w:rPr>
          <w:color w:val="000000"/>
        </w:rPr>
        <w:t>to support the development of our grant programmes</w:t>
      </w:r>
      <w:r w:rsidR="00464F9D">
        <w:rPr>
          <w:color w:val="000000"/>
        </w:rPr>
        <w:t>. This includes consultations with the armed forces community</w:t>
      </w:r>
      <w:r w:rsidR="005A673A">
        <w:rPr>
          <w:color w:val="000000"/>
        </w:rPr>
        <w:t xml:space="preserve"> and other key stakeholder</w:t>
      </w:r>
      <w:r w:rsidR="00CB5F7F">
        <w:rPr>
          <w:color w:val="000000"/>
        </w:rPr>
        <w:t>s</w:t>
      </w:r>
      <w:r w:rsidR="00115996">
        <w:rPr>
          <w:color w:val="000000"/>
        </w:rPr>
        <w:t xml:space="preserve">, </w:t>
      </w:r>
      <w:r w:rsidR="00CB5F7F">
        <w:rPr>
          <w:color w:val="000000"/>
        </w:rPr>
        <w:t xml:space="preserve">research to identify </w:t>
      </w:r>
      <w:r w:rsidR="00AF3B51">
        <w:rPr>
          <w:color w:val="000000"/>
        </w:rPr>
        <w:t>needs and knowledge gaps</w:t>
      </w:r>
      <w:r w:rsidR="00315DCA">
        <w:rPr>
          <w:color w:val="000000"/>
        </w:rPr>
        <w:t xml:space="preserve">, </w:t>
      </w:r>
      <w:r w:rsidR="00D348D6">
        <w:rPr>
          <w:color w:val="000000"/>
        </w:rPr>
        <w:t>and evaluations of our grant programmes to</w:t>
      </w:r>
      <w:r w:rsidR="00644714">
        <w:rPr>
          <w:color w:val="000000"/>
        </w:rPr>
        <w:t xml:space="preserve"> support accountability and drive learning and improvement. We</w:t>
      </w:r>
      <w:r w:rsidR="00786D68">
        <w:rPr>
          <w:color w:val="000000"/>
        </w:rPr>
        <w:t xml:space="preserve"> do this work in-house and also commission</w:t>
      </w:r>
      <w:r w:rsidR="00B102CC">
        <w:rPr>
          <w:color w:val="000000"/>
        </w:rPr>
        <w:t xml:space="preserve"> research </w:t>
      </w:r>
      <w:r w:rsidR="0007656F">
        <w:rPr>
          <w:color w:val="000000"/>
        </w:rPr>
        <w:t xml:space="preserve">and evaluation </w:t>
      </w:r>
      <w:r w:rsidR="00B102CC">
        <w:rPr>
          <w:color w:val="000000"/>
        </w:rPr>
        <w:t>partners</w:t>
      </w:r>
      <w:r w:rsidR="00911B70">
        <w:rPr>
          <w:color w:val="000000"/>
        </w:rPr>
        <w:t xml:space="preserve"> to c</w:t>
      </w:r>
      <w:r w:rsidR="000F2260">
        <w:rPr>
          <w:color w:val="000000"/>
        </w:rPr>
        <w:t>onduct independent assessments of our programmes</w:t>
      </w:r>
      <w:r w:rsidR="00066946">
        <w:rPr>
          <w:color w:val="000000"/>
        </w:rPr>
        <w:t xml:space="preserve"> and gather</w:t>
      </w:r>
      <w:r w:rsidR="00B21646">
        <w:rPr>
          <w:color w:val="000000"/>
        </w:rPr>
        <w:t xml:space="preserve"> robust</w:t>
      </w:r>
      <w:r w:rsidR="00066946">
        <w:rPr>
          <w:color w:val="000000"/>
        </w:rPr>
        <w:t xml:space="preserve"> </w:t>
      </w:r>
      <w:r w:rsidR="00366681">
        <w:rPr>
          <w:color w:val="000000"/>
        </w:rPr>
        <w:t xml:space="preserve">independent </w:t>
      </w:r>
      <w:r w:rsidR="00066946">
        <w:rPr>
          <w:color w:val="000000"/>
        </w:rPr>
        <w:t>evidence</w:t>
      </w:r>
      <w:r w:rsidR="00366681">
        <w:rPr>
          <w:color w:val="000000"/>
        </w:rPr>
        <w:t xml:space="preserve"> on our behalf.</w:t>
      </w:r>
    </w:p>
    <w:p w14:paraId="1F0DD18F" w14:textId="77777777" w:rsidR="00096CD4" w:rsidRDefault="005F19AA" w:rsidP="00AA0F4D">
      <w:pPr>
        <w:numPr>
          <w:ilvl w:val="1"/>
          <w:numId w:val="71"/>
        </w:numPr>
        <w:pBdr>
          <w:top w:val="nil"/>
          <w:left w:val="nil"/>
          <w:bottom w:val="nil"/>
          <w:right w:val="nil"/>
          <w:between w:val="nil"/>
        </w:pBdr>
        <w:adjustRightInd/>
        <w:spacing w:after="160" w:line="259" w:lineRule="auto"/>
        <w:rPr>
          <w:color w:val="000000"/>
        </w:rPr>
      </w:pPr>
      <w:r w:rsidRPr="005F19AA">
        <w:rPr>
          <w:color w:val="000000"/>
        </w:rPr>
        <w:t>We commission and deliver research activities to address four main learning needs:</w:t>
      </w:r>
    </w:p>
    <w:p w14:paraId="2A9F243E" w14:textId="77777777" w:rsidR="00096CD4" w:rsidRDefault="00096CD4" w:rsidP="00AA0F4D">
      <w:pPr>
        <w:numPr>
          <w:ilvl w:val="2"/>
          <w:numId w:val="71"/>
        </w:numPr>
        <w:pBdr>
          <w:top w:val="nil"/>
          <w:left w:val="nil"/>
          <w:bottom w:val="nil"/>
          <w:right w:val="nil"/>
          <w:between w:val="nil"/>
        </w:pBdr>
        <w:adjustRightInd/>
        <w:spacing w:after="160" w:line="259" w:lineRule="auto"/>
        <w:rPr>
          <w:color w:val="000000"/>
        </w:rPr>
      </w:pPr>
      <w:r>
        <w:rPr>
          <w:color w:val="000000"/>
        </w:rPr>
        <w:t>u</w:t>
      </w:r>
      <w:r w:rsidR="005F19AA" w:rsidRPr="00720767">
        <w:rPr>
          <w:color w:val="000000"/>
        </w:rPr>
        <w:t>nderstanding existing evidence of need, interventions which currently exist, and their efficacy</w:t>
      </w:r>
    </w:p>
    <w:p w14:paraId="7CCEBB40" w14:textId="77777777" w:rsidR="00096CD4" w:rsidRDefault="00096CD4" w:rsidP="00AA0F4D">
      <w:pPr>
        <w:numPr>
          <w:ilvl w:val="2"/>
          <w:numId w:val="71"/>
        </w:numPr>
        <w:pBdr>
          <w:top w:val="nil"/>
          <w:left w:val="nil"/>
          <w:bottom w:val="nil"/>
          <w:right w:val="nil"/>
          <w:between w:val="nil"/>
        </w:pBdr>
        <w:adjustRightInd/>
        <w:spacing w:after="160" w:line="259" w:lineRule="auto"/>
        <w:rPr>
          <w:color w:val="000000"/>
        </w:rPr>
      </w:pPr>
      <w:r>
        <w:rPr>
          <w:color w:val="000000"/>
        </w:rPr>
        <w:t>q</w:t>
      </w:r>
      <w:r w:rsidR="005F19AA" w:rsidRPr="00096CD4">
        <w:rPr>
          <w:color w:val="000000"/>
        </w:rPr>
        <w:t>ualitative understanding of lived experience of a specific issue and any existing third sector response to it, to inform grant programme design (often involving interview, survey, focus group and consultation techniques)</w:t>
      </w:r>
    </w:p>
    <w:p w14:paraId="3BD5CBB6" w14:textId="77777777" w:rsidR="00B2008D" w:rsidRDefault="00096CD4" w:rsidP="00AA0F4D">
      <w:pPr>
        <w:numPr>
          <w:ilvl w:val="2"/>
          <w:numId w:val="71"/>
        </w:numPr>
        <w:pBdr>
          <w:top w:val="nil"/>
          <w:left w:val="nil"/>
          <w:bottom w:val="nil"/>
          <w:right w:val="nil"/>
          <w:between w:val="nil"/>
        </w:pBdr>
        <w:adjustRightInd/>
        <w:spacing w:after="160" w:line="259" w:lineRule="auto"/>
        <w:rPr>
          <w:color w:val="000000"/>
        </w:rPr>
      </w:pPr>
      <w:r>
        <w:rPr>
          <w:color w:val="000000"/>
        </w:rPr>
        <w:t>d</w:t>
      </w:r>
      <w:r w:rsidR="005F19AA" w:rsidRPr="00096CD4">
        <w:rPr>
          <w:color w:val="000000"/>
        </w:rPr>
        <w:t>eep-dive, quantitative and qualitative evaluation of individual grant programmes, to understand their impact against specified outcomes, inform future phases of that programme or wider grant-making strategy for the Covenant Fund</w:t>
      </w:r>
    </w:p>
    <w:p w14:paraId="75DE94E0" w14:textId="31121198" w:rsidR="005F19AA" w:rsidRPr="00B2008D" w:rsidRDefault="00B2008D" w:rsidP="00AA0F4D">
      <w:pPr>
        <w:numPr>
          <w:ilvl w:val="2"/>
          <w:numId w:val="71"/>
        </w:numPr>
        <w:pBdr>
          <w:top w:val="nil"/>
          <w:left w:val="nil"/>
          <w:bottom w:val="nil"/>
          <w:right w:val="nil"/>
          <w:between w:val="nil"/>
        </w:pBdr>
        <w:adjustRightInd/>
        <w:spacing w:after="160" w:line="259" w:lineRule="auto"/>
        <w:rPr>
          <w:color w:val="000000"/>
        </w:rPr>
      </w:pPr>
      <w:r>
        <w:rPr>
          <w:color w:val="000000"/>
        </w:rPr>
        <w:t>d</w:t>
      </w:r>
      <w:r w:rsidR="005F19AA" w:rsidRPr="00B2008D">
        <w:rPr>
          <w:color w:val="000000"/>
        </w:rPr>
        <w:t>eep-dive, quantitative and qualitative evaluations of multiple programmes, to understand their impact against the Covenant Fund's three-year strategy, report to MOD on the Covenant Fund’s overall impact activity and to inform strategy and planning for the Fund’s future grant making</w:t>
      </w:r>
    </w:p>
    <w:p w14:paraId="01C8F8E5" w14:textId="27023108" w:rsidR="00102C3C" w:rsidRPr="008F2BAC" w:rsidRDefault="00AE4945" w:rsidP="00AA0F4D">
      <w:pPr>
        <w:numPr>
          <w:ilvl w:val="0"/>
          <w:numId w:val="71"/>
        </w:numPr>
        <w:pBdr>
          <w:top w:val="nil"/>
          <w:left w:val="nil"/>
          <w:bottom w:val="nil"/>
          <w:right w:val="nil"/>
          <w:between w:val="nil"/>
        </w:pBdr>
        <w:tabs>
          <w:tab w:val="clear" w:pos="862"/>
          <w:tab w:val="num" w:pos="1276"/>
        </w:tabs>
        <w:adjustRightInd/>
        <w:spacing w:after="160" w:line="259" w:lineRule="auto"/>
        <w:ind w:left="284" w:hanging="284"/>
        <w:rPr>
          <w:b/>
          <w:bCs/>
          <w:color w:val="000000"/>
        </w:rPr>
      </w:pPr>
      <w:r w:rsidRPr="008F2BAC">
        <w:rPr>
          <w:b/>
          <w:bCs/>
          <w:color w:val="000000"/>
        </w:rPr>
        <w:lastRenderedPageBreak/>
        <w:t>AIMS AND OBJECTIVES</w:t>
      </w:r>
    </w:p>
    <w:p w14:paraId="5D54BB1A" w14:textId="1454EF7C" w:rsidR="008636C0" w:rsidRDefault="001B1843" w:rsidP="00AA0F4D">
      <w:pPr>
        <w:numPr>
          <w:ilvl w:val="1"/>
          <w:numId w:val="71"/>
        </w:numPr>
        <w:pBdr>
          <w:top w:val="nil"/>
          <w:left w:val="nil"/>
          <w:bottom w:val="nil"/>
          <w:right w:val="nil"/>
          <w:between w:val="nil"/>
        </w:pBdr>
        <w:adjustRightInd/>
        <w:spacing w:after="160" w:line="259" w:lineRule="auto"/>
        <w:rPr>
          <w:color w:val="000000"/>
        </w:rPr>
      </w:pPr>
      <w:r w:rsidRPr="001B1843">
        <w:rPr>
          <w:color w:val="000000"/>
        </w:rPr>
        <w:t>This Service Specification sets out the requirements for a multi-supplier Framework Agreement (the Framework) for the provision of research, evaluation and evidence services</w:t>
      </w:r>
      <w:r w:rsidR="00715538">
        <w:rPr>
          <w:color w:val="000000"/>
        </w:rPr>
        <w:t xml:space="preserve">, </w:t>
      </w:r>
      <w:r w:rsidR="00C0165A">
        <w:rPr>
          <w:color w:val="000000"/>
        </w:rPr>
        <w:t>to support the Trust</w:t>
      </w:r>
      <w:r w:rsidR="00DE56E3">
        <w:rPr>
          <w:color w:val="000000"/>
        </w:rPr>
        <w:t xml:space="preserve"> in grant programme development</w:t>
      </w:r>
      <w:r w:rsidR="009759C3">
        <w:rPr>
          <w:color w:val="000000"/>
        </w:rPr>
        <w:t xml:space="preserve"> and similar activities for the benefit of the armed forces community.</w:t>
      </w:r>
    </w:p>
    <w:p w14:paraId="4B044E5A" w14:textId="3B2CFBF8" w:rsidR="00AD6185" w:rsidRDefault="00AD6185" w:rsidP="00AA0F4D">
      <w:pPr>
        <w:numPr>
          <w:ilvl w:val="1"/>
          <w:numId w:val="71"/>
        </w:numPr>
        <w:pBdr>
          <w:top w:val="nil"/>
          <w:left w:val="nil"/>
          <w:bottom w:val="nil"/>
          <w:right w:val="nil"/>
          <w:between w:val="nil"/>
        </w:pBdr>
        <w:adjustRightInd/>
        <w:spacing w:after="160" w:line="259" w:lineRule="auto"/>
        <w:rPr>
          <w:color w:val="000000"/>
        </w:rPr>
      </w:pPr>
      <w:r w:rsidRPr="00AD6185">
        <w:rPr>
          <w:color w:val="000000"/>
        </w:rPr>
        <w:t xml:space="preserve">The Framework is intended to appoint up to five (5) organisations capable of delivering high-quality research, evaluation and related services. </w:t>
      </w:r>
      <w:r w:rsidR="00626686">
        <w:rPr>
          <w:color w:val="000000"/>
        </w:rPr>
        <w:t>Call-Off</w:t>
      </w:r>
      <w:r w:rsidRPr="00AD6185">
        <w:rPr>
          <w:color w:val="000000"/>
        </w:rPr>
        <w:t xml:space="preserve"> Contracts will then be awarded under the Framework for specific projects.</w:t>
      </w:r>
      <w:r w:rsidR="0030042D">
        <w:rPr>
          <w:color w:val="000000"/>
        </w:rPr>
        <w:t xml:space="preserve"> </w:t>
      </w:r>
      <w:r w:rsidRPr="0030042D">
        <w:rPr>
          <w:color w:val="000000"/>
        </w:rPr>
        <w:t xml:space="preserve">Bidders must demonstrate their ability to deliver all core elements of this Service Specification and to respond flexibly to a range of </w:t>
      </w:r>
      <w:r w:rsidR="00626686">
        <w:rPr>
          <w:color w:val="000000"/>
        </w:rPr>
        <w:t>Call-Off</w:t>
      </w:r>
      <w:r w:rsidRPr="0030042D">
        <w:rPr>
          <w:color w:val="000000"/>
        </w:rPr>
        <w:t xml:space="preserve"> requirements over the life of the Framework</w:t>
      </w:r>
      <w:r w:rsidR="008A49B0">
        <w:rPr>
          <w:color w:val="000000"/>
        </w:rPr>
        <w:t xml:space="preserve">, which will be for a period of </w:t>
      </w:r>
      <w:r w:rsidR="00911A0B">
        <w:rPr>
          <w:color w:val="000000"/>
        </w:rPr>
        <w:t>four</w:t>
      </w:r>
      <w:r w:rsidR="006F1072">
        <w:rPr>
          <w:color w:val="000000"/>
        </w:rPr>
        <w:t xml:space="preserve"> (</w:t>
      </w:r>
      <w:r w:rsidR="00911A0B">
        <w:rPr>
          <w:color w:val="000000"/>
        </w:rPr>
        <w:t>4</w:t>
      </w:r>
      <w:r w:rsidR="006F1072">
        <w:rPr>
          <w:color w:val="000000"/>
        </w:rPr>
        <w:t>) years.</w:t>
      </w:r>
    </w:p>
    <w:p w14:paraId="7D6BAB3D" w14:textId="77777777" w:rsidR="00B00C26" w:rsidRDefault="00D375C6" w:rsidP="00AA0F4D">
      <w:pPr>
        <w:numPr>
          <w:ilvl w:val="1"/>
          <w:numId w:val="71"/>
        </w:numPr>
        <w:pBdr>
          <w:top w:val="nil"/>
          <w:left w:val="nil"/>
          <w:bottom w:val="nil"/>
          <w:right w:val="nil"/>
          <w:between w:val="nil"/>
        </w:pBdr>
        <w:adjustRightInd/>
        <w:spacing w:after="160" w:line="259" w:lineRule="auto"/>
        <w:rPr>
          <w:color w:val="000000"/>
        </w:rPr>
      </w:pPr>
      <w:r>
        <w:rPr>
          <w:color w:val="000000"/>
        </w:rPr>
        <w:t>The overall objectives of th</w:t>
      </w:r>
      <w:r w:rsidR="004B462F">
        <w:rPr>
          <w:color w:val="000000"/>
        </w:rPr>
        <w:t>is Framework are to</w:t>
      </w:r>
      <w:r w:rsidR="00194694">
        <w:rPr>
          <w:color w:val="000000"/>
        </w:rPr>
        <w:t>:</w:t>
      </w:r>
    </w:p>
    <w:p w14:paraId="3C5729AA" w14:textId="77777777" w:rsidR="00B00C26" w:rsidRDefault="004B462F" w:rsidP="00AA0F4D">
      <w:pPr>
        <w:numPr>
          <w:ilvl w:val="2"/>
          <w:numId w:val="71"/>
        </w:numPr>
        <w:pBdr>
          <w:top w:val="nil"/>
          <w:left w:val="nil"/>
          <w:bottom w:val="nil"/>
          <w:right w:val="nil"/>
          <w:between w:val="nil"/>
        </w:pBdr>
        <w:adjustRightInd/>
        <w:spacing w:after="160" w:line="259" w:lineRule="auto"/>
        <w:rPr>
          <w:color w:val="000000"/>
        </w:rPr>
      </w:pPr>
      <w:r>
        <w:rPr>
          <w:color w:val="000000"/>
        </w:rPr>
        <w:t>provide the Trust with timely access to high-quality research and evaluation expertise</w:t>
      </w:r>
    </w:p>
    <w:p w14:paraId="14F20522" w14:textId="068F23A5" w:rsidR="00080B28" w:rsidRDefault="00194694" w:rsidP="00AA0F4D">
      <w:pPr>
        <w:numPr>
          <w:ilvl w:val="2"/>
          <w:numId w:val="71"/>
        </w:numPr>
        <w:pBdr>
          <w:top w:val="nil"/>
          <w:left w:val="nil"/>
          <w:bottom w:val="nil"/>
          <w:right w:val="nil"/>
          <w:between w:val="nil"/>
        </w:pBdr>
        <w:adjustRightInd/>
        <w:spacing w:after="160" w:line="259" w:lineRule="auto"/>
        <w:rPr>
          <w:color w:val="000000"/>
        </w:rPr>
      </w:pPr>
      <w:r>
        <w:rPr>
          <w:color w:val="000000"/>
        </w:rPr>
        <w:t xml:space="preserve">generate robust, credible and actionable </w:t>
      </w:r>
      <w:r w:rsidR="008F7481">
        <w:rPr>
          <w:color w:val="000000"/>
        </w:rPr>
        <w:t>evidence on the needs, experiences, outcomes and impacts associated with the armed forces community</w:t>
      </w:r>
    </w:p>
    <w:p w14:paraId="784BBE8E" w14:textId="3B4AC56A" w:rsidR="00D02D94" w:rsidRDefault="00D02D94" w:rsidP="00AA0F4D">
      <w:pPr>
        <w:numPr>
          <w:ilvl w:val="2"/>
          <w:numId w:val="71"/>
        </w:numPr>
        <w:pBdr>
          <w:top w:val="nil"/>
          <w:left w:val="nil"/>
          <w:bottom w:val="nil"/>
          <w:right w:val="nil"/>
          <w:between w:val="nil"/>
        </w:pBdr>
        <w:adjustRightInd/>
        <w:spacing w:after="160" w:line="259" w:lineRule="auto"/>
        <w:rPr>
          <w:color w:val="000000"/>
        </w:rPr>
      </w:pPr>
      <w:r>
        <w:rPr>
          <w:color w:val="000000"/>
        </w:rPr>
        <w:t>support the design, monitoring and evaluation of grant programmes</w:t>
      </w:r>
      <w:r w:rsidR="009952E2">
        <w:rPr>
          <w:color w:val="000000"/>
        </w:rPr>
        <w:t xml:space="preserve"> and other initiatives</w:t>
      </w:r>
    </w:p>
    <w:p w14:paraId="710BC9DE" w14:textId="71940FF8" w:rsidR="009952E2" w:rsidRDefault="009952E2" w:rsidP="00AA0F4D">
      <w:pPr>
        <w:numPr>
          <w:ilvl w:val="2"/>
          <w:numId w:val="71"/>
        </w:numPr>
        <w:pBdr>
          <w:top w:val="nil"/>
          <w:left w:val="nil"/>
          <w:bottom w:val="nil"/>
          <w:right w:val="nil"/>
          <w:between w:val="nil"/>
        </w:pBdr>
        <w:adjustRightInd/>
        <w:spacing w:after="160" w:line="259" w:lineRule="auto"/>
        <w:rPr>
          <w:color w:val="000000"/>
        </w:rPr>
      </w:pPr>
      <w:r>
        <w:rPr>
          <w:color w:val="000000"/>
        </w:rPr>
        <w:t xml:space="preserve">identify </w:t>
      </w:r>
      <w:r w:rsidR="00DC4F93">
        <w:rPr>
          <w:color w:val="000000"/>
        </w:rPr>
        <w:t>and map evidence</w:t>
      </w:r>
      <w:r w:rsidR="00422930">
        <w:rPr>
          <w:color w:val="000000"/>
        </w:rPr>
        <w:t xml:space="preserve"> gaps to inform future strategy, policy, commissioning and funding</w:t>
      </w:r>
    </w:p>
    <w:p w14:paraId="210E297D" w14:textId="77777777" w:rsidR="005554F0" w:rsidRDefault="005A0CF9" w:rsidP="00AA0F4D">
      <w:pPr>
        <w:numPr>
          <w:ilvl w:val="2"/>
          <w:numId w:val="71"/>
        </w:numPr>
        <w:pBdr>
          <w:top w:val="nil"/>
          <w:left w:val="nil"/>
          <w:bottom w:val="nil"/>
          <w:right w:val="nil"/>
          <w:between w:val="nil"/>
        </w:pBdr>
        <w:adjustRightInd/>
        <w:spacing w:after="160" w:line="259" w:lineRule="auto"/>
        <w:rPr>
          <w:color w:val="000000"/>
        </w:rPr>
      </w:pPr>
      <w:r>
        <w:rPr>
          <w:color w:val="000000"/>
        </w:rPr>
        <w:t>ensure that research and evaluation activities are conducted in a manner</w:t>
      </w:r>
      <w:r w:rsidR="00A17CB7">
        <w:rPr>
          <w:color w:val="000000"/>
        </w:rPr>
        <w:t xml:space="preserve"> that is ethical, safe, trauma-informed, inclusive and respectful of the armed forces community and their </w:t>
      </w:r>
      <w:r w:rsidR="007E1FDA">
        <w:rPr>
          <w:color w:val="000000"/>
        </w:rPr>
        <w:t>circumstances and experiences</w:t>
      </w:r>
    </w:p>
    <w:p w14:paraId="42CFA478" w14:textId="7D7CED6F" w:rsidR="00FB322F" w:rsidRDefault="001476D4" w:rsidP="00AA0F4D">
      <w:pPr>
        <w:numPr>
          <w:ilvl w:val="1"/>
          <w:numId w:val="71"/>
        </w:numPr>
        <w:pBdr>
          <w:top w:val="nil"/>
          <w:left w:val="nil"/>
          <w:bottom w:val="nil"/>
          <w:right w:val="nil"/>
          <w:between w:val="nil"/>
        </w:pBdr>
        <w:adjustRightInd/>
        <w:spacing w:after="160" w:line="259" w:lineRule="auto"/>
        <w:rPr>
          <w:color w:val="000000"/>
        </w:rPr>
      </w:pPr>
      <w:r w:rsidRPr="005554F0">
        <w:rPr>
          <w:color w:val="000000"/>
        </w:rPr>
        <w:t xml:space="preserve">Over the life of the Framework, the Trust expects that </w:t>
      </w:r>
      <w:r w:rsidR="00626686">
        <w:rPr>
          <w:color w:val="000000"/>
        </w:rPr>
        <w:t>Call-Off</w:t>
      </w:r>
      <w:r w:rsidRPr="005554F0">
        <w:rPr>
          <w:color w:val="000000"/>
        </w:rPr>
        <w:t xml:space="preserve"> contracts will collectively contribute to</w:t>
      </w:r>
      <w:r w:rsidR="00AF7002" w:rsidRPr="005554F0">
        <w:rPr>
          <w:color w:val="000000"/>
        </w:rPr>
        <w:t>:</w:t>
      </w:r>
      <w:r w:rsidR="00F91D01" w:rsidRPr="005554F0">
        <w:rPr>
          <w:color w:val="000000"/>
        </w:rPr>
        <w:t xml:space="preserve"> a deeper understanding of what works, for whom</w:t>
      </w:r>
      <w:r w:rsidR="00AF7002" w:rsidRPr="005554F0">
        <w:rPr>
          <w:color w:val="000000"/>
        </w:rPr>
        <w:t xml:space="preserve"> and why; </w:t>
      </w:r>
      <w:r w:rsidR="004B777B" w:rsidRPr="005554F0">
        <w:rPr>
          <w:color w:val="000000"/>
        </w:rPr>
        <w:t>improved targeting and design of funding and services; better outcomes for members of the armed forces community.</w:t>
      </w:r>
    </w:p>
    <w:p w14:paraId="3518F206" w14:textId="77777777" w:rsidR="00361B19" w:rsidRPr="008F2BAC" w:rsidRDefault="0086176F" w:rsidP="0075574F">
      <w:pPr>
        <w:pBdr>
          <w:top w:val="nil"/>
          <w:left w:val="nil"/>
          <w:bottom w:val="nil"/>
          <w:right w:val="nil"/>
          <w:between w:val="nil"/>
        </w:pBdr>
        <w:adjustRightInd/>
        <w:spacing w:after="160" w:line="259" w:lineRule="auto"/>
        <w:ind w:left="284" w:hanging="284"/>
        <w:rPr>
          <w:b/>
          <w:bCs/>
          <w:color w:val="000000"/>
        </w:rPr>
      </w:pPr>
      <w:r w:rsidRPr="008F2BAC">
        <w:rPr>
          <w:b/>
          <w:bCs/>
          <w:color w:val="000000"/>
        </w:rPr>
        <w:t>3</w:t>
      </w:r>
      <w:r w:rsidR="0075574F" w:rsidRPr="008F2BAC">
        <w:rPr>
          <w:b/>
          <w:bCs/>
          <w:color w:val="000000"/>
        </w:rPr>
        <w:tab/>
        <w:t>SCOPE OF SERVICES</w:t>
      </w:r>
    </w:p>
    <w:p w14:paraId="0B54076D" w14:textId="77777777" w:rsidR="00F17738" w:rsidRDefault="00361B19" w:rsidP="0075574F">
      <w:pPr>
        <w:pBdr>
          <w:top w:val="nil"/>
          <w:left w:val="nil"/>
          <w:bottom w:val="nil"/>
          <w:right w:val="nil"/>
          <w:between w:val="nil"/>
        </w:pBdr>
        <w:adjustRightInd/>
        <w:spacing w:after="160" w:line="259" w:lineRule="auto"/>
        <w:ind w:left="284" w:hanging="284"/>
        <w:rPr>
          <w:color w:val="000000"/>
        </w:rPr>
      </w:pPr>
      <w:r>
        <w:rPr>
          <w:color w:val="000000"/>
        </w:rPr>
        <w:t>3.1</w:t>
      </w:r>
      <w:r>
        <w:rPr>
          <w:color w:val="000000"/>
        </w:rPr>
        <w:tab/>
      </w:r>
      <w:r>
        <w:rPr>
          <w:color w:val="000000"/>
        </w:rPr>
        <w:tab/>
      </w:r>
      <w:r w:rsidR="00F17738">
        <w:rPr>
          <w:color w:val="000000"/>
        </w:rPr>
        <w:t>The Framework covers (but is not limited to) the following categories of service:</w:t>
      </w:r>
    </w:p>
    <w:p w14:paraId="2242E1BF" w14:textId="77777777" w:rsidR="00CA31C5" w:rsidRDefault="001A1C79" w:rsidP="00CA31C5">
      <w:pPr>
        <w:pBdr>
          <w:top w:val="nil"/>
          <w:left w:val="nil"/>
          <w:bottom w:val="nil"/>
          <w:right w:val="nil"/>
          <w:between w:val="nil"/>
        </w:pBdr>
        <w:adjustRightInd/>
        <w:spacing w:after="160" w:line="259" w:lineRule="auto"/>
        <w:ind w:left="1440" w:hanging="720"/>
        <w:rPr>
          <w:color w:val="000000"/>
        </w:rPr>
      </w:pPr>
      <w:r>
        <w:rPr>
          <w:color w:val="000000"/>
        </w:rPr>
        <w:t>(a)</w:t>
      </w:r>
      <w:r>
        <w:rPr>
          <w:color w:val="000000"/>
        </w:rPr>
        <w:tab/>
        <w:t>impact and outcome evaluations of grant funded programmes</w:t>
      </w:r>
      <w:r w:rsidR="00CA31C5">
        <w:rPr>
          <w:color w:val="000000"/>
        </w:rPr>
        <w:t xml:space="preserve"> or specific projects within a programme</w:t>
      </w:r>
    </w:p>
    <w:p w14:paraId="34762278" w14:textId="77777777" w:rsidR="00AB2EE6" w:rsidRDefault="00CA31C5" w:rsidP="00CA31C5">
      <w:pPr>
        <w:pBdr>
          <w:top w:val="nil"/>
          <w:left w:val="nil"/>
          <w:bottom w:val="nil"/>
          <w:right w:val="nil"/>
          <w:between w:val="nil"/>
        </w:pBdr>
        <w:adjustRightInd/>
        <w:spacing w:after="160" w:line="259" w:lineRule="auto"/>
        <w:ind w:left="1440" w:hanging="720"/>
        <w:rPr>
          <w:color w:val="000000"/>
        </w:rPr>
      </w:pPr>
      <w:r>
        <w:rPr>
          <w:color w:val="000000"/>
        </w:rPr>
        <w:t>(b)</w:t>
      </w:r>
      <w:r>
        <w:rPr>
          <w:color w:val="000000"/>
        </w:rPr>
        <w:tab/>
      </w:r>
      <w:r w:rsidR="00593AE5">
        <w:rPr>
          <w:color w:val="000000"/>
        </w:rPr>
        <w:t>process and implementation evaluations to understand</w:t>
      </w:r>
      <w:r w:rsidR="0093764E">
        <w:rPr>
          <w:color w:val="000000"/>
        </w:rPr>
        <w:t xml:space="preserve"> how and why programmes work</w:t>
      </w:r>
      <w:r w:rsidR="00AB2EE6">
        <w:rPr>
          <w:color w:val="000000"/>
        </w:rPr>
        <w:t xml:space="preserve"> in practice, and what can be improved</w:t>
      </w:r>
    </w:p>
    <w:p w14:paraId="1C9C8C9C" w14:textId="3BA09D3A" w:rsidR="0051467D" w:rsidRDefault="0003365B" w:rsidP="00CA31C5">
      <w:pPr>
        <w:pBdr>
          <w:top w:val="nil"/>
          <w:left w:val="nil"/>
          <w:bottom w:val="nil"/>
          <w:right w:val="nil"/>
          <w:between w:val="nil"/>
        </w:pBdr>
        <w:adjustRightInd/>
        <w:spacing w:after="160" w:line="259" w:lineRule="auto"/>
        <w:ind w:left="1440" w:hanging="720"/>
        <w:rPr>
          <w:color w:val="000000"/>
        </w:rPr>
      </w:pPr>
      <w:r>
        <w:rPr>
          <w:color w:val="000000"/>
        </w:rPr>
        <w:t>(c)</w:t>
      </w:r>
      <w:r>
        <w:rPr>
          <w:color w:val="000000"/>
        </w:rPr>
        <w:tab/>
        <w:t xml:space="preserve">economic evaluations to </w:t>
      </w:r>
      <w:r w:rsidR="001755A8">
        <w:rPr>
          <w:color w:val="000000"/>
        </w:rPr>
        <w:t>demonstrate value for investment</w:t>
      </w:r>
      <w:r w:rsidR="00CA67C5">
        <w:rPr>
          <w:color w:val="000000"/>
        </w:rPr>
        <w:t xml:space="preserve"> or other appropriate considerations</w:t>
      </w:r>
    </w:p>
    <w:p w14:paraId="5AC68164" w14:textId="2C3E266C" w:rsidR="00B03347" w:rsidRDefault="00AB2EE6" w:rsidP="00CA31C5">
      <w:pPr>
        <w:pBdr>
          <w:top w:val="nil"/>
          <w:left w:val="nil"/>
          <w:bottom w:val="nil"/>
          <w:right w:val="nil"/>
          <w:between w:val="nil"/>
        </w:pBdr>
        <w:adjustRightInd/>
        <w:spacing w:after="160" w:line="259" w:lineRule="auto"/>
        <w:ind w:left="1440" w:hanging="720"/>
        <w:rPr>
          <w:color w:val="000000"/>
        </w:rPr>
      </w:pPr>
      <w:r>
        <w:rPr>
          <w:color w:val="000000"/>
        </w:rPr>
        <w:t>(</w:t>
      </w:r>
      <w:r w:rsidR="00CA67C5">
        <w:rPr>
          <w:color w:val="000000"/>
        </w:rPr>
        <w:t>d</w:t>
      </w:r>
      <w:r>
        <w:rPr>
          <w:color w:val="000000"/>
        </w:rPr>
        <w:t>)</w:t>
      </w:r>
      <w:r>
        <w:rPr>
          <w:color w:val="000000"/>
        </w:rPr>
        <w:tab/>
      </w:r>
      <w:r w:rsidR="00B03347">
        <w:rPr>
          <w:color w:val="000000"/>
        </w:rPr>
        <w:t>needs assessments, scoping studies and feasibility studies</w:t>
      </w:r>
    </w:p>
    <w:p w14:paraId="038E6BF0" w14:textId="3A4DA249" w:rsidR="00931565" w:rsidRDefault="00B03347" w:rsidP="00CA31C5">
      <w:pPr>
        <w:pBdr>
          <w:top w:val="nil"/>
          <w:left w:val="nil"/>
          <w:bottom w:val="nil"/>
          <w:right w:val="nil"/>
          <w:between w:val="nil"/>
        </w:pBdr>
        <w:adjustRightInd/>
        <w:spacing w:after="160" w:line="259" w:lineRule="auto"/>
        <w:ind w:left="1440" w:hanging="720"/>
        <w:rPr>
          <w:color w:val="000000"/>
        </w:rPr>
      </w:pPr>
      <w:r>
        <w:rPr>
          <w:color w:val="000000"/>
        </w:rPr>
        <w:t>(</w:t>
      </w:r>
      <w:r w:rsidR="00CA67C5">
        <w:rPr>
          <w:color w:val="000000"/>
        </w:rPr>
        <w:t>e</w:t>
      </w:r>
      <w:r>
        <w:rPr>
          <w:color w:val="000000"/>
        </w:rPr>
        <w:t>)</w:t>
      </w:r>
      <w:r>
        <w:rPr>
          <w:color w:val="000000"/>
        </w:rPr>
        <w:tab/>
      </w:r>
      <w:r w:rsidR="00762122">
        <w:rPr>
          <w:color w:val="000000"/>
        </w:rPr>
        <w:t>evidence reviews, rapid reviews and evidence and gap maps</w:t>
      </w:r>
    </w:p>
    <w:p w14:paraId="5AB8FC7C" w14:textId="6F57B9F4" w:rsidR="0057068F" w:rsidRDefault="008A2DA4" w:rsidP="0057068F">
      <w:pPr>
        <w:pBdr>
          <w:top w:val="nil"/>
          <w:left w:val="nil"/>
          <w:bottom w:val="nil"/>
          <w:right w:val="nil"/>
          <w:between w:val="nil"/>
        </w:pBdr>
        <w:adjustRightInd/>
        <w:spacing w:after="160" w:line="259" w:lineRule="auto"/>
        <w:ind w:left="1440" w:hanging="720"/>
        <w:rPr>
          <w:color w:val="000000"/>
        </w:rPr>
      </w:pPr>
      <w:r>
        <w:rPr>
          <w:color w:val="000000"/>
        </w:rPr>
        <w:t>(</w:t>
      </w:r>
      <w:r w:rsidR="00CA67C5">
        <w:rPr>
          <w:color w:val="000000"/>
        </w:rPr>
        <w:t>f</w:t>
      </w:r>
      <w:r>
        <w:rPr>
          <w:color w:val="000000"/>
        </w:rPr>
        <w:t>)</w:t>
      </w:r>
      <w:r>
        <w:rPr>
          <w:color w:val="000000"/>
        </w:rPr>
        <w:tab/>
      </w:r>
      <w:r w:rsidR="00CA365F">
        <w:rPr>
          <w:color w:val="000000"/>
        </w:rPr>
        <w:t>m</w:t>
      </w:r>
      <w:r>
        <w:rPr>
          <w:color w:val="000000"/>
        </w:rPr>
        <w:t>ixed-methods research combining qualitative</w:t>
      </w:r>
      <w:r w:rsidR="0057068F">
        <w:rPr>
          <w:color w:val="000000"/>
        </w:rPr>
        <w:t>, quantitative and participatory approaches</w:t>
      </w:r>
    </w:p>
    <w:p w14:paraId="132A1D2B" w14:textId="0E150071" w:rsidR="008721C4" w:rsidRPr="008721C4" w:rsidRDefault="0057068F" w:rsidP="008721C4">
      <w:pPr>
        <w:pBdr>
          <w:top w:val="nil"/>
          <w:left w:val="nil"/>
          <w:bottom w:val="nil"/>
          <w:right w:val="nil"/>
          <w:between w:val="nil"/>
        </w:pBdr>
        <w:adjustRightInd/>
        <w:spacing w:after="160" w:line="259" w:lineRule="auto"/>
        <w:ind w:left="1440" w:hanging="720"/>
        <w:rPr>
          <w:color w:val="000000"/>
        </w:rPr>
      </w:pPr>
      <w:r>
        <w:rPr>
          <w:color w:val="000000"/>
        </w:rPr>
        <w:t>(</w:t>
      </w:r>
      <w:r w:rsidR="00CA67C5">
        <w:rPr>
          <w:color w:val="000000"/>
        </w:rPr>
        <w:t>g</w:t>
      </w:r>
      <w:r>
        <w:rPr>
          <w:color w:val="000000"/>
        </w:rPr>
        <w:t>)</w:t>
      </w:r>
      <w:r>
        <w:rPr>
          <w:color w:val="000000"/>
        </w:rPr>
        <w:tab/>
      </w:r>
      <w:r w:rsidR="00CA365F">
        <w:rPr>
          <w:color w:val="000000"/>
        </w:rPr>
        <w:t>m</w:t>
      </w:r>
      <w:r>
        <w:rPr>
          <w:color w:val="000000"/>
        </w:rPr>
        <w:t xml:space="preserve">onitoring and evaluation </w:t>
      </w:r>
      <w:r w:rsidR="008721C4">
        <w:rPr>
          <w:color w:val="000000"/>
        </w:rPr>
        <w:t>support,</w:t>
      </w:r>
      <w:r w:rsidR="008721C4" w:rsidRPr="008721C4">
        <w:rPr>
          <w:color w:val="000000"/>
        </w:rPr>
        <w:t xml:space="preserve"> including theory of change development, indicator design and data collection frameworks.</w:t>
      </w:r>
    </w:p>
    <w:p w14:paraId="51ADAE05" w14:textId="6D7323EC" w:rsidR="008721C4" w:rsidRPr="008721C4" w:rsidRDefault="00875031" w:rsidP="008721C4">
      <w:pPr>
        <w:pBdr>
          <w:top w:val="nil"/>
          <w:left w:val="nil"/>
          <w:bottom w:val="nil"/>
          <w:right w:val="nil"/>
          <w:between w:val="nil"/>
        </w:pBdr>
        <w:adjustRightInd/>
        <w:spacing w:after="160" w:line="259" w:lineRule="auto"/>
        <w:ind w:left="1440" w:hanging="720"/>
        <w:rPr>
          <w:color w:val="000000"/>
        </w:rPr>
      </w:pPr>
      <w:r>
        <w:rPr>
          <w:color w:val="000000"/>
        </w:rPr>
        <w:t>(</w:t>
      </w:r>
      <w:r w:rsidR="00CA67C5">
        <w:rPr>
          <w:color w:val="000000"/>
        </w:rPr>
        <w:t>h</w:t>
      </w:r>
      <w:r w:rsidR="008721C4" w:rsidRPr="008721C4">
        <w:rPr>
          <w:color w:val="000000"/>
        </w:rPr>
        <w:t xml:space="preserve">) </w:t>
      </w:r>
      <w:r w:rsidR="008721C4">
        <w:rPr>
          <w:color w:val="000000"/>
        </w:rPr>
        <w:tab/>
      </w:r>
      <w:r w:rsidR="00CA365F">
        <w:rPr>
          <w:color w:val="000000"/>
        </w:rPr>
        <w:t>d</w:t>
      </w:r>
      <w:r w:rsidR="008721C4" w:rsidRPr="008721C4">
        <w:rPr>
          <w:color w:val="000000"/>
        </w:rPr>
        <w:t>ata analysis and secondary analysis of existing datasets.</w:t>
      </w:r>
    </w:p>
    <w:p w14:paraId="0EF9E6E3" w14:textId="375526EF" w:rsidR="008721C4" w:rsidRPr="008721C4" w:rsidRDefault="00875031" w:rsidP="008721C4">
      <w:pPr>
        <w:pBdr>
          <w:top w:val="nil"/>
          <w:left w:val="nil"/>
          <w:bottom w:val="nil"/>
          <w:right w:val="nil"/>
          <w:between w:val="nil"/>
        </w:pBdr>
        <w:adjustRightInd/>
        <w:spacing w:after="160" w:line="259" w:lineRule="auto"/>
        <w:ind w:left="1440" w:hanging="720"/>
        <w:rPr>
          <w:color w:val="000000"/>
        </w:rPr>
      </w:pPr>
      <w:r>
        <w:rPr>
          <w:color w:val="000000"/>
        </w:rPr>
        <w:lastRenderedPageBreak/>
        <w:t>(</w:t>
      </w:r>
      <w:r w:rsidR="00CA67C5">
        <w:rPr>
          <w:color w:val="000000"/>
        </w:rPr>
        <w:t>i</w:t>
      </w:r>
      <w:r w:rsidR="008721C4" w:rsidRPr="008721C4">
        <w:rPr>
          <w:color w:val="000000"/>
        </w:rPr>
        <w:t xml:space="preserve">) </w:t>
      </w:r>
      <w:r w:rsidR="008721C4">
        <w:rPr>
          <w:color w:val="000000"/>
        </w:rPr>
        <w:tab/>
      </w:r>
      <w:r w:rsidR="00CA365F">
        <w:rPr>
          <w:color w:val="000000"/>
        </w:rPr>
        <w:t>l</w:t>
      </w:r>
      <w:r w:rsidR="008721C4" w:rsidRPr="008721C4">
        <w:rPr>
          <w:color w:val="000000"/>
        </w:rPr>
        <w:t>earning partner / critical friend roles, including facilitation of learning activities and communities of practice.</w:t>
      </w:r>
    </w:p>
    <w:p w14:paraId="24882A75" w14:textId="59F99178" w:rsidR="0057068F" w:rsidRDefault="00875031" w:rsidP="008721C4">
      <w:pPr>
        <w:pBdr>
          <w:top w:val="nil"/>
          <w:left w:val="nil"/>
          <w:bottom w:val="nil"/>
          <w:right w:val="nil"/>
          <w:between w:val="nil"/>
        </w:pBdr>
        <w:adjustRightInd/>
        <w:spacing w:after="160" w:line="259" w:lineRule="auto"/>
        <w:ind w:left="1440" w:hanging="720"/>
        <w:rPr>
          <w:color w:val="000000"/>
        </w:rPr>
      </w:pPr>
      <w:r>
        <w:rPr>
          <w:color w:val="000000"/>
        </w:rPr>
        <w:t>(</w:t>
      </w:r>
      <w:r w:rsidR="00CA67C5">
        <w:rPr>
          <w:color w:val="000000"/>
        </w:rPr>
        <w:t>j</w:t>
      </w:r>
      <w:r w:rsidR="008721C4" w:rsidRPr="008721C4">
        <w:rPr>
          <w:color w:val="000000"/>
        </w:rPr>
        <w:t xml:space="preserve">) </w:t>
      </w:r>
      <w:r w:rsidR="008721C4">
        <w:rPr>
          <w:color w:val="000000"/>
        </w:rPr>
        <w:tab/>
      </w:r>
      <w:r w:rsidR="00CA365F">
        <w:rPr>
          <w:color w:val="000000"/>
        </w:rPr>
        <w:t>c</w:t>
      </w:r>
      <w:r w:rsidR="008721C4" w:rsidRPr="008721C4">
        <w:rPr>
          <w:color w:val="000000"/>
        </w:rPr>
        <w:t xml:space="preserve">apacity-building and </w:t>
      </w:r>
      <w:r w:rsidR="008F4BE3">
        <w:rPr>
          <w:color w:val="000000"/>
        </w:rPr>
        <w:t>support</w:t>
      </w:r>
      <w:r w:rsidR="008721C4" w:rsidRPr="008721C4">
        <w:rPr>
          <w:color w:val="000000"/>
        </w:rPr>
        <w:t xml:space="preserve"> for </w:t>
      </w:r>
      <w:r w:rsidR="00B2697D">
        <w:rPr>
          <w:color w:val="000000"/>
        </w:rPr>
        <w:t>grant holders</w:t>
      </w:r>
      <w:r w:rsidR="008721C4" w:rsidRPr="008721C4">
        <w:rPr>
          <w:color w:val="000000"/>
        </w:rPr>
        <w:t xml:space="preserve"> and </w:t>
      </w:r>
      <w:r w:rsidR="00B2697D">
        <w:rPr>
          <w:color w:val="000000"/>
        </w:rPr>
        <w:t xml:space="preserve">other </w:t>
      </w:r>
      <w:r w:rsidR="008721C4" w:rsidRPr="008721C4">
        <w:rPr>
          <w:color w:val="000000"/>
        </w:rPr>
        <w:t xml:space="preserve">stakeholders in </w:t>
      </w:r>
      <w:r w:rsidR="00042CCC">
        <w:rPr>
          <w:color w:val="000000"/>
        </w:rPr>
        <w:t>data collection</w:t>
      </w:r>
      <w:r w:rsidR="008721C4" w:rsidRPr="008721C4">
        <w:rPr>
          <w:color w:val="000000"/>
        </w:rPr>
        <w:t xml:space="preserve"> and evaluation </w:t>
      </w:r>
      <w:r w:rsidR="00042CCC">
        <w:rPr>
          <w:color w:val="000000"/>
        </w:rPr>
        <w:t>approaches</w:t>
      </w:r>
      <w:r w:rsidR="001D2188">
        <w:rPr>
          <w:color w:val="000000"/>
        </w:rPr>
        <w:t xml:space="preserve"> as part of programme </w:t>
      </w:r>
      <w:r w:rsidR="00042CCC">
        <w:rPr>
          <w:color w:val="000000"/>
        </w:rPr>
        <w:t>evaluation</w:t>
      </w:r>
      <w:r w:rsidR="00B2697D">
        <w:rPr>
          <w:color w:val="000000"/>
        </w:rPr>
        <w:t>s</w:t>
      </w:r>
      <w:r w:rsidR="008721C4" w:rsidRPr="008721C4">
        <w:rPr>
          <w:color w:val="000000"/>
        </w:rPr>
        <w:t xml:space="preserve"> (where required).</w:t>
      </w:r>
    </w:p>
    <w:p w14:paraId="70304C6B" w14:textId="6EEC0834" w:rsidR="008D417C" w:rsidRDefault="00F81F19" w:rsidP="008D417C">
      <w:pPr>
        <w:pBdr>
          <w:top w:val="nil"/>
          <w:left w:val="nil"/>
          <w:bottom w:val="nil"/>
          <w:right w:val="nil"/>
          <w:between w:val="nil"/>
        </w:pBdr>
        <w:adjustRightInd/>
        <w:spacing w:after="160" w:line="259" w:lineRule="auto"/>
        <w:rPr>
          <w:color w:val="000000"/>
        </w:rPr>
      </w:pPr>
      <w:r>
        <w:rPr>
          <w:color w:val="000000"/>
        </w:rPr>
        <w:t>3.2</w:t>
      </w:r>
      <w:r>
        <w:rPr>
          <w:color w:val="000000"/>
        </w:rPr>
        <w:tab/>
      </w:r>
      <w:r w:rsidR="00626686">
        <w:rPr>
          <w:color w:val="000000"/>
        </w:rPr>
        <w:t>Call-Off</w:t>
      </w:r>
      <w:r>
        <w:rPr>
          <w:color w:val="000000"/>
        </w:rPr>
        <w:t xml:space="preserve"> contracts</w:t>
      </w:r>
      <w:r w:rsidR="00A75DF6">
        <w:rPr>
          <w:color w:val="000000"/>
        </w:rPr>
        <w:t xml:space="preserve"> may be of varying size, duration and value</w:t>
      </w:r>
      <w:r w:rsidR="00287A86">
        <w:rPr>
          <w:color w:val="000000"/>
        </w:rPr>
        <w:t>, for example:</w:t>
      </w:r>
    </w:p>
    <w:p w14:paraId="24558B46" w14:textId="6DD7AAF6" w:rsidR="00563CA8" w:rsidRDefault="00287A86" w:rsidP="00563CA8">
      <w:pPr>
        <w:pBdr>
          <w:top w:val="nil"/>
          <w:left w:val="nil"/>
          <w:bottom w:val="nil"/>
          <w:right w:val="nil"/>
          <w:between w:val="nil"/>
        </w:pBdr>
        <w:adjustRightInd/>
        <w:spacing w:after="160" w:line="259" w:lineRule="auto"/>
        <w:rPr>
          <w:color w:val="000000"/>
        </w:rPr>
      </w:pPr>
      <w:r>
        <w:rPr>
          <w:color w:val="000000"/>
        </w:rPr>
        <w:tab/>
        <w:t>(a)</w:t>
      </w:r>
      <w:r>
        <w:rPr>
          <w:color w:val="000000"/>
        </w:rPr>
        <w:tab/>
      </w:r>
      <w:r w:rsidR="00AA2718">
        <w:rPr>
          <w:color w:val="000000"/>
        </w:rPr>
        <w:t>s</w:t>
      </w:r>
      <w:r w:rsidR="00563CA8" w:rsidRPr="00563CA8">
        <w:rPr>
          <w:color w:val="000000"/>
        </w:rPr>
        <w:t>mall-scale, rapid research projects (e.g. 6</w:t>
      </w:r>
      <w:r w:rsidR="00AB03DB">
        <w:rPr>
          <w:color w:val="000000"/>
        </w:rPr>
        <w:t xml:space="preserve"> to </w:t>
      </w:r>
      <w:r w:rsidR="00563CA8" w:rsidRPr="00563CA8">
        <w:rPr>
          <w:color w:val="000000"/>
        </w:rPr>
        <w:t>12 weeks)</w:t>
      </w:r>
    </w:p>
    <w:p w14:paraId="69E2CD77" w14:textId="2B0D8D74" w:rsidR="006D40B1" w:rsidRDefault="00AB03DB" w:rsidP="006D40B1">
      <w:pPr>
        <w:pBdr>
          <w:top w:val="nil"/>
          <w:left w:val="nil"/>
          <w:bottom w:val="nil"/>
          <w:right w:val="nil"/>
          <w:between w:val="nil"/>
        </w:pBdr>
        <w:adjustRightInd/>
        <w:spacing w:after="160" w:line="259" w:lineRule="auto"/>
        <w:ind w:firstLine="720"/>
        <w:rPr>
          <w:color w:val="000000"/>
        </w:rPr>
      </w:pPr>
      <w:r>
        <w:rPr>
          <w:color w:val="000000"/>
        </w:rPr>
        <w:t>(b)</w:t>
      </w:r>
      <w:r>
        <w:rPr>
          <w:color w:val="000000"/>
        </w:rPr>
        <w:tab/>
      </w:r>
      <w:r w:rsidR="00AA2718">
        <w:rPr>
          <w:color w:val="000000"/>
        </w:rPr>
        <w:t>m</w:t>
      </w:r>
      <w:r w:rsidR="00563CA8" w:rsidRPr="00563CA8">
        <w:rPr>
          <w:color w:val="000000"/>
        </w:rPr>
        <w:t>edium-scale evaluations</w:t>
      </w:r>
      <w:r w:rsidR="00677C30">
        <w:rPr>
          <w:color w:val="000000"/>
        </w:rPr>
        <w:t xml:space="preserve"> or resear</w:t>
      </w:r>
      <w:r w:rsidR="0072578F">
        <w:rPr>
          <w:color w:val="000000"/>
        </w:rPr>
        <w:t>ch projects</w:t>
      </w:r>
      <w:r w:rsidR="00563CA8" w:rsidRPr="00563CA8">
        <w:rPr>
          <w:color w:val="000000"/>
        </w:rPr>
        <w:t xml:space="preserve"> (e.g. 6</w:t>
      </w:r>
      <w:r>
        <w:rPr>
          <w:color w:val="000000"/>
        </w:rPr>
        <w:t xml:space="preserve"> to </w:t>
      </w:r>
      <w:r w:rsidR="00563CA8" w:rsidRPr="00563CA8">
        <w:rPr>
          <w:color w:val="000000"/>
        </w:rPr>
        <w:t>18 months)</w:t>
      </w:r>
    </w:p>
    <w:p w14:paraId="76BFFE72" w14:textId="13169077" w:rsidR="00287A86" w:rsidRDefault="006D40B1" w:rsidP="006D40B1">
      <w:pPr>
        <w:pBdr>
          <w:top w:val="nil"/>
          <w:left w:val="nil"/>
          <w:bottom w:val="nil"/>
          <w:right w:val="nil"/>
          <w:between w:val="nil"/>
        </w:pBdr>
        <w:adjustRightInd/>
        <w:spacing w:after="160" w:line="259" w:lineRule="auto"/>
        <w:ind w:firstLine="720"/>
        <w:rPr>
          <w:color w:val="000000"/>
        </w:rPr>
      </w:pPr>
      <w:r>
        <w:rPr>
          <w:color w:val="000000"/>
        </w:rPr>
        <w:t>(c)</w:t>
      </w:r>
      <w:r>
        <w:rPr>
          <w:color w:val="000000"/>
        </w:rPr>
        <w:tab/>
      </w:r>
      <w:r w:rsidR="0003213F">
        <w:rPr>
          <w:color w:val="000000"/>
        </w:rPr>
        <w:t>l</w:t>
      </w:r>
      <w:r w:rsidR="00563CA8" w:rsidRPr="00563CA8">
        <w:rPr>
          <w:color w:val="000000"/>
        </w:rPr>
        <w:t>arger, multi-year</w:t>
      </w:r>
      <w:r w:rsidR="0014390F">
        <w:rPr>
          <w:color w:val="000000"/>
        </w:rPr>
        <w:t xml:space="preserve"> </w:t>
      </w:r>
      <w:r w:rsidR="00563CA8" w:rsidRPr="00563CA8">
        <w:rPr>
          <w:color w:val="000000"/>
        </w:rPr>
        <w:t>research and evaluation programmes</w:t>
      </w:r>
      <w:r w:rsidR="0014390F">
        <w:rPr>
          <w:color w:val="000000"/>
        </w:rPr>
        <w:t xml:space="preserve"> (e.g. 2 to 3 years)</w:t>
      </w:r>
    </w:p>
    <w:p w14:paraId="3C720FCC" w14:textId="13ACDB76" w:rsidR="0014390F" w:rsidRDefault="0014390F" w:rsidP="00804165">
      <w:pPr>
        <w:pBdr>
          <w:top w:val="nil"/>
          <w:left w:val="nil"/>
          <w:bottom w:val="nil"/>
          <w:right w:val="nil"/>
          <w:between w:val="nil"/>
        </w:pBdr>
        <w:adjustRightInd/>
        <w:spacing w:after="160" w:line="259" w:lineRule="auto"/>
        <w:ind w:left="1440" w:hanging="720"/>
        <w:rPr>
          <w:color w:val="000000"/>
        </w:rPr>
      </w:pPr>
      <w:r>
        <w:rPr>
          <w:color w:val="000000"/>
        </w:rPr>
        <w:t>(d)</w:t>
      </w:r>
      <w:r>
        <w:rPr>
          <w:color w:val="000000"/>
        </w:rPr>
        <w:tab/>
      </w:r>
      <w:r w:rsidR="0003213F">
        <w:rPr>
          <w:color w:val="000000"/>
        </w:rPr>
        <w:t>c</w:t>
      </w:r>
      <w:r w:rsidR="008402B0">
        <w:rPr>
          <w:color w:val="000000"/>
        </w:rPr>
        <w:t>ontracts</w:t>
      </w:r>
      <w:r w:rsidR="00F80219">
        <w:rPr>
          <w:color w:val="000000"/>
        </w:rPr>
        <w:t xml:space="preserve"> can range from £30,000</w:t>
      </w:r>
      <w:r w:rsidR="005D3E72">
        <w:rPr>
          <w:color w:val="000000"/>
        </w:rPr>
        <w:t>-£50,000</w:t>
      </w:r>
      <w:r w:rsidR="00804165">
        <w:rPr>
          <w:color w:val="000000"/>
        </w:rPr>
        <w:t xml:space="preserve"> or</w:t>
      </w:r>
      <w:r w:rsidR="005D3E72">
        <w:rPr>
          <w:color w:val="000000"/>
        </w:rPr>
        <w:t xml:space="preserve"> </w:t>
      </w:r>
      <w:r w:rsidR="0008430F">
        <w:rPr>
          <w:color w:val="000000"/>
        </w:rPr>
        <w:t>£80,000-£120,000</w:t>
      </w:r>
      <w:r w:rsidR="00804165">
        <w:rPr>
          <w:color w:val="000000"/>
        </w:rPr>
        <w:t>, depending on the project and the available budget</w:t>
      </w:r>
      <w:r w:rsidR="00120EDE">
        <w:rPr>
          <w:color w:val="000000"/>
        </w:rPr>
        <w:t>, but would typical</w:t>
      </w:r>
      <w:r w:rsidR="00C932EB">
        <w:rPr>
          <w:color w:val="000000"/>
        </w:rPr>
        <w:t>ly</w:t>
      </w:r>
      <w:r w:rsidR="00120EDE">
        <w:rPr>
          <w:color w:val="000000"/>
        </w:rPr>
        <w:t xml:space="preserve"> not exceed</w:t>
      </w:r>
      <w:r w:rsidR="00C932EB">
        <w:rPr>
          <w:color w:val="000000"/>
        </w:rPr>
        <w:t xml:space="preserve"> £200,000 for </w:t>
      </w:r>
      <w:r w:rsidR="00F93573">
        <w:rPr>
          <w:color w:val="000000"/>
        </w:rPr>
        <w:t xml:space="preserve">complex, multi-year </w:t>
      </w:r>
      <w:r w:rsidR="0088297B">
        <w:rPr>
          <w:color w:val="000000"/>
        </w:rPr>
        <w:t>programme evaluations</w:t>
      </w:r>
    </w:p>
    <w:p w14:paraId="471D5AF6" w14:textId="77777777" w:rsidR="00AA2718" w:rsidRDefault="007D3686" w:rsidP="00093275">
      <w:pPr>
        <w:pBdr>
          <w:top w:val="nil"/>
          <w:left w:val="nil"/>
          <w:bottom w:val="nil"/>
          <w:right w:val="nil"/>
          <w:between w:val="nil"/>
        </w:pBdr>
        <w:adjustRightInd/>
        <w:spacing w:after="160" w:line="259" w:lineRule="auto"/>
        <w:ind w:left="709" w:hanging="709"/>
        <w:rPr>
          <w:color w:val="000000"/>
        </w:rPr>
      </w:pPr>
      <w:r>
        <w:rPr>
          <w:color w:val="000000"/>
        </w:rPr>
        <w:t>3.3</w:t>
      </w:r>
      <w:r>
        <w:rPr>
          <w:color w:val="000000"/>
        </w:rPr>
        <w:tab/>
      </w:r>
      <w:r w:rsidRPr="007D3686">
        <w:rPr>
          <w:color w:val="000000"/>
        </w:rPr>
        <w:t>The Framework may be used for projects relating to any aspect of</w:t>
      </w:r>
      <w:r w:rsidR="001F4BC0">
        <w:rPr>
          <w:color w:val="000000"/>
        </w:rPr>
        <w:t xml:space="preserve"> support for</w:t>
      </w:r>
      <w:r w:rsidRPr="007D3686">
        <w:rPr>
          <w:color w:val="000000"/>
        </w:rPr>
        <w:t xml:space="preserve"> the armed forces community and </w:t>
      </w:r>
      <w:r w:rsidR="001F4BC0">
        <w:rPr>
          <w:color w:val="000000"/>
        </w:rPr>
        <w:t>any area of the Trust’s work</w:t>
      </w:r>
      <w:r w:rsidRPr="007D3686">
        <w:rPr>
          <w:color w:val="000000"/>
        </w:rPr>
        <w:t>. Examples include</w:t>
      </w:r>
      <w:r w:rsidR="000A1617">
        <w:rPr>
          <w:color w:val="000000"/>
        </w:rPr>
        <w:t xml:space="preserve"> (but are not limited to)</w:t>
      </w:r>
      <w:r w:rsidRPr="007D3686">
        <w:rPr>
          <w:color w:val="000000"/>
        </w:rPr>
        <w:t>:</w:t>
      </w:r>
    </w:p>
    <w:p w14:paraId="0D07790A" w14:textId="59DCF6FE" w:rsidR="00AA2718" w:rsidRDefault="00AA2718" w:rsidP="00AA2718">
      <w:pPr>
        <w:pBdr>
          <w:top w:val="nil"/>
          <w:left w:val="nil"/>
          <w:bottom w:val="nil"/>
          <w:right w:val="nil"/>
          <w:between w:val="nil"/>
        </w:pBdr>
        <w:adjustRightInd/>
        <w:spacing w:after="160" w:line="259" w:lineRule="auto"/>
        <w:ind w:left="1440" w:hanging="720"/>
        <w:rPr>
          <w:color w:val="000000"/>
        </w:rPr>
      </w:pPr>
      <w:r>
        <w:rPr>
          <w:color w:val="000000"/>
        </w:rPr>
        <w:t>(a)</w:t>
      </w:r>
      <w:r>
        <w:rPr>
          <w:color w:val="000000"/>
        </w:rPr>
        <w:tab/>
      </w:r>
      <w:r w:rsidR="00497498">
        <w:rPr>
          <w:color w:val="000000"/>
        </w:rPr>
        <w:t>m</w:t>
      </w:r>
      <w:r w:rsidR="007D3686" w:rsidRPr="007D3686">
        <w:rPr>
          <w:color w:val="000000"/>
        </w:rPr>
        <w:t>ental health and wellbeing</w:t>
      </w:r>
    </w:p>
    <w:p w14:paraId="15D779DE" w14:textId="46C8E24D" w:rsidR="00AA2718" w:rsidRDefault="00AA2718" w:rsidP="00AA2718">
      <w:pPr>
        <w:pBdr>
          <w:top w:val="nil"/>
          <w:left w:val="nil"/>
          <w:bottom w:val="nil"/>
          <w:right w:val="nil"/>
          <w:between w:val="nil"/>
        </w:pBdr>
        <w:adjustRightInd/>
        <w:spacing w:after="160" w:line="259" w:lineRule="auto"/>
        <w:ind w:left="1440" w:hanging="720"/>
        <w:rPr>
          <w:color w:val="000000"/>
        </w:rPr>
      </w:pPr>
      <w:r>
        <w:rPr>
          <w:color w:val="000000"/>
        </w:rPr>
        <w:t>(b)</w:t>
      </w:r>
      <w:r>
        <w:rPr>
          <w:color w:val="000000"/>
        </w:rPr>
        <w:tab/>
      </w:r>
      <w:r w:rsidR="00497498">
        <w:rPr>
          <w:color w:val="000000"/>
        </w:rPr>
        <w:t>s</w:t>
      </w:r>
      <w:r w:rsidR="007D3686" w:rsidRPr="007D3686">
        <w:rPr>
          <w:color w:val="000000"/>
        </w:rPr>
        <w:t>ocial isolation and loneliness</w:t>
      </w:r>
    </w:p>
    <w:p w14:paraId="1C651A85" w14:textId="1102D51C" w:rsidR="00AA2718" w:rsidRDefault="00AA2718" w:rsidP="00AA2718">
      <w:pPr>
        <w:pBdr>
          <w:top w:val="nil"/>
          <w:left w:val="nil"/>
          <w:bottom w:val="nil"/>
          <w:right w:val="nil"/>
          <w:between w:val="nil"/>
        </w:pBdr>
        <w:adjustRightInd/>
        <w:spacing w:after="160" w:line="259" w:lineRule="auto"/>
        <w:ind w:left="1440" w:hanging="720"/>
        <w:rPr>
          <w:color w:val="000000"/>
        </w:rPr>
      </w:pPr>
      <w:r>
        <w:rPr>
          <w:color w:val="000000"/>
        </w:rPr>
        <w:t>(c)</w:t>
      </w:r>
      <w:r>
        <w:rPr>
          <w:color w:val="000000"/>
        </w:rPr>
        <w:tab/>
      </w:r>
      <w:r w:rsidR="00497498">
        <w:rPr>
          <w:color w:val="000000"/>
        </w:rPr>
        <w:t>t</w:t>
      </w:r>
      <w:r w:rsidR="007D3686" w:rsidRPr="007D3686">
        <w:rPr>
          <w:color w:val="000000"/>
        </w:rPr>
        <w:t>ransition from service to civilian life</w:t>
      </w:r>
    </w:p>
    <w:p w14:paraId="2F84FD2B" w14:textId="51B82958" w:rsidR="00AA2718" w:rsidRDefault="00AA2718" w:rsidP="00AA2718">
      <w:pPr>
        <w:pBdr>
          <w:top w:val="nil"/>
          <w:left w:val="nil"/>
          <w:bottom w:val="nil"/>
          <w:right w:val="nil"/>
          <w:between w:val="nil"/>
        </w:pBdr>
        <w:adjustRightInd/>
        <w:spacing w:after="160" w:line="259" w:lineRule="auto"/>
        <w:ind w:left="1440" w:hanging="720"/>
        <w:rPr>
          <w:color w:val="000000"/>
        </w:rPr>
      </w:pPr>
      <w:r>
        <w:rPr>
          <w:color w:val="000000"/>
        </w:rPr>
        <w:t>(d)</w:t>
      </w:r>
      <w:r>
        <w:rPr>
          <w:color w:val="000000"/>
        </w:rPr>
        <w:tab/>
      </w:r>
      <w:r w:rsidR="00497498">
        <w:rPr>
          <w:color w:val="000000"/>
        </w:rPr>
        <w:t>f</w:t>
      </w:r>
      <w:r w:rsidR="007D3686" w:rsidRPr="007D3686">
        <w:rPr>
          <w:color w:val="000000"/>
        </w:rPr>
        <w:t>amilies</w:t>
      </w:r>
      <w:r w:rsidR="0003213F">
        <w:rPr>
          <w:color w:val="000000"/>
        </w:rPr>
        <w:t>,</w:t>
      </w:r>
      <w:r w:rsidR="007D3686" w:rsidRPr="007D3686">
        <w:rPr>
          <w:color w:val="000000"/>
        </w:rPr>
        <w:t xml:space="preserve"> relationships</w:t>
      </w:r>
      <w:r w:rsidR="003F5C1C">
        <w:rPr>
          <w:color w:val="000000"/>
        </w:rPr>
        <w:t xml:space="preserve"> and education</w:t>
      </w:r>
      <w:r w:rsidR="007D3686" w:rsidRPr="007D3686">
        <w:rPr>
          <w:color w:val="000000"/>
        </w:rPr>
        <w:t>, including</w:t>
      </w:r>
      <w:r w:rsidR="003F5C1C">
        <w:rPr>
          <w:color w:val="000000"/>
        </w:rPr>
        <w:t xml:space="preserve"> for</w:t>
      </w:r>
      <w:r w:rsidR="007D3686" w:rsidRPr="007D3686">
        <w:rPr>
          <w:color w:val="000000"/>
        </w:rPr>
        <w:t xml:space="preserve"> children and young people</w:t>
      </w:r>
    </w:p>
    <w:p w14:paraId="3A87FCEB" w14:textId="77777777" w:rsidR="00AA2718" w:rsidRDefault="00AA2718" w:rsidP="00AA2718">
      <w:pPr>
        <w:pBdr>
          <w:top w:val="nil"/>
          <w:left w:val="nil"/>
          <w:bottom w:val="nil"/>
          <w:right w:val="nil"/>
          <w:between w:val="nil"/>
        </w:pBdr>
        <w:adjustRightInd/>
        <w:spacing w:after="160" w:line="259" w:lineRule="auto"/>
        <w:ind w:left="1440" w:hanging="720"/>
        <w:rPr>
          <w:color w:val="000000"/>
        </w:rPr>
      </w:pPr>
      <w:r>
        <w:rPr>
          <w:color w:val="000000"/>
        </w:rPr>
        <w:t>(c)</w:t>
      </w:r>
      <w:r>
        <w:rPr>
          <w:color w:val="000000"/>
        </w:rPr>
        <w:tab/>
      </w:r>
      <w:r w:rsidR="007D3686" w:rsidRPr="007D3686">
        <w:rPr>
          <w:color w:val="000000"/>
        </w:rPr>
        <w:t>Housing, finances and employment</w:t>
      </w:r>
    </w:p>
    <w:p w14:paraId="6944924C" w14:textId="4242C535" w:rsidR="005B6767" w:rsidRDefault="00AA2718" w:rsidP="00AA2718">
      <w:pPr>
        <w:pBdr>
          <w:top w:val="nil"/>
          <w:left w:val="nil"/>
          <w:bottom w:val="nil"/>
          <w:right w:val="nil"/>
          <w:between w:val="nil"/>
        </w:pBdr>
        <w:adjustRightInd/>
        <w:spacing w:after="160" w:line="259" w:lineRule="auto"/>
        <w:ind w:left="1440" w:hanging="720"/>
        <w:rPr>
          <w:color w:val="000000"/>
        </w:rPr>
      </w:pPr>
      <w:r>
        <w:rPr>
          <w:color w:val="000000"/>
        </w:rPr>
        <w:t>(d)</w:t>
      </w:r>
      <w:r>
        <w:rPr>
          <w:color w:val="000000"/>
        </w:rPr>
        <w:tab/>
      </w:r>
      <w:r w:rsidR="007D3686" w:rsidRPr="007D3686">
        <w:rPr>
          <w:color w:val="000000"/>
        </w:rPr>
        <w:t>Inclusion, diversity and experiences of under-represented groups</w:t>
      </w:r>
    </w:p>
    <w:p w14:paraId="56D6FCC8" w14:textId="15C8354C" w:rsidR="008B7289" w:rsidRPr="008F2BAC" w:rsidRDefault="008B7289" w:rsidP="008B7289">
      <w:pPr>
        <w:pBdr>
          <w:top w:val="nil"/>
          <w:left w:val="nil"/>
          <w:bottom w:val="nil"/>
          <w:right w:val="nil"/>
          <w:between w:val="nil"/>
        </w:pBdr>
        <w:adjustRightInd/>
        <w:spacing w:after="160" w:line="259" w:lineRule="auto"/>
        <w:ind w:left="284" w:hanging="284"/>
        <w:rPr>
          <w:b/>
          <w:bCs/>
          <w:color w:val="000000"/>
        </w:rPr>
      </w:pPr>
      <w:r w:rsidRPr="008F2BAC">
        <w:rPr>
          <w:b/>
          <w:bCs/>
          <w:color w:val="000000"/>
        </w:rPr>
        <w:t>4</w:t>
      </w:r>
      <w:r w:rsidRPr="008F2BAC">
        <w:rPr>
          <w:b/>
          <w:bCs/>
          <w:color w:val="000000"/>
        </w:rPr>
        <w:tab/>
        <w:t>CORE SERVICE REQUIREMENTS</w:t>
      </w:r>
    </w:p>
    <w:p w14:paraId="03F33325" w14:textId="77777777" w:rsidR="00D06F1D" w:rsidRPr="008F2BAC" w:rsidRDefault="008B7289" w:rsidP="00463EEE">
      <w:pPr>
        <w:pBdr>
          <w:top w:val="nil"/>
          <w:left w:val="nil"/>
          <w:bottom w:val="nil"/>
          <w:right w:val="nil"/>
          <w:between w:val="nil"/>
        </w:pBdr>
        <w:adjustRightInd/>
        <w:spacing w:after="160" w:line="259" w:lineRule="auto"/>
        <w:ind w:left="284" w:hanging="284"/>
        <w:rPr>
          <w:b/>
          <w:bCs/>
          <w:color w:val="000000"/>
        </w:rPr>
      </w:pPr>
      <w:r w:rsidRPr="008F2BAC">
        <w:rPr>
          <w:b/>
          <w:bCs/>
          <w:color w:val="000000"/>
        </w:rPr>
        <w:t>4.1</w:t>
      </w:r>
      <w:r w:rsidR="00463EEE" w:rsidRPr="008F2BAC">
        <w:rPr>
          <w:b/>
          <w:bCs/>
          <w:color w:val="000000"/>
        </w:rPr>
        <w:tab/>
      </w:r>
      <w:r w:rsidR="00463EEE" w:rsidRPr="008F2BAC">
        <w:rPr>
          <w:b/>
          <w:bCs/>
          <w:color w:val="000000"/>
        </w:rPr>
        <w:tab/>
      </w:r>
      <w:r w:rsidR="00506D1E" w:rsidRPr="008F2BAC">
        <w:rPr>
          <w:b/>
          <w:bCs/>
          <w:color w:val="000000"/>
        </w:rPr>
        <w:t>General requirements</w:t>
      </w:r>
    </w:p>
    <w:p w14:paraId="56E22C2B" w14:textId="5DD7875F" w:rsidR="00463EEE" w:rsidRPr="00463EEE" w:rsidRDefault="00D06F1D" w:rsidP="00D06F1D">
      <w:pPr>
        <w:pBdr>
          <w:top w:val="nil"/>
          <w:left w:val="nil"/>
          <w:bottom w:val="nil"/>
          <w:right w:val="nil"/>
          <w:between w:val="nil"/>
        </w:pBdr>
        <w:adjustRightInd/>
        <w:spacing w:after="160" w:line="259" w:lineRule="auto"/>
        <w:ind w:left="284"/>
        <w:rPr>
          <w:color w:val="000000"/>
        </w:rPr>
      </w:pPr>
      <w:r>
        <w:rPr>
          <w:color w:val="000000"/>
        </w:rPr>
        <w:t xml:space="preserve">4.1.1 </w:t>
      </w:r>
      <w:r w:rsidR="00463EEE" w:rsidRPr="00463EEE">
        <w:rPr>
          <w:color w:val="000000"/>
        </w:rPr>
        <w:t>Suppliers must be able to:</w:t>
      </w:r>
    </w:p>
    <w:p w14:paraId="3DC54BBB" w14:textId="5E031EEB" w:rsidR="00463EEE" w:rsidRPr="00463EEE" w:rsidRDefault="00463EEE" w:rsidP="00463EEE">
      <w:pPr>
        <w:pBdr>
          <w:top w:val="nil"/>
          <w:left w:val="nil"/>
          <w:bottom w:val="nil"/>
          <w:right w:val="nil"/>
          <w:between w:val="nil"/>
        </w:pBdr>
        <w:adjustRightInd/>
        <w:spacing w:after="160" w:line="259" w:lineRule="auto"/>
        <w:ind w:left="1418" w:hanging="709"/>
        <w:rPr>
          <w:color w:val="000000"/>
        </w:rPr>
      </w:pPr>
      <w:r>
        <w:rPr>
          <w:color w:val="000000"/>
        </w:rPr>
        <w:t>(</w:t>
      </w:r>
      <w:r w:rsidRPr="00463EEE">
        <w:rPr>
          <w:color w:val="000000"/>
        </w:rPr>
        <w:t xml:space="preserve">a) </w:t>
      </w:r>
      <w:r>
        <w:rPr>
          <w:color w:val="000000"/>
        </w:rPr>
        <w:tab/>
      </w:r>
      <w:r w:rsidR="006B56C1">
        <w:rPr>
          <w:color w:val="000000"/>
        </w:rPr>
        <w:t>d</w:t>
      </w:r>
      <w:r w:rsidRPr="00463EEE">
        <w:rPr>
          <w:color w:val="000000"/>
        </w:rPr>
        <w:t>esign and deliver robust, proportionate and ethically sound research and evaluation projects</w:t>
      </w:r>
    </w:p>
    <w:p w14:paraId="54F7242B" w14:textId="20C5E078" w:rsidR="00463EEE" w:rsidRPr="00463EEE" w:rsidRDefault="00463EEE" w:rsidP="00463EEE">
      <w:pPr>
        <w:pBdr>
          <w:top w:val="nil"/>
          <w:left w:val="nil"/>
          <w:bottom w:val="nil"/>
          <w:right w:val="nil"/>
          <w:between w:val="nil"/>
        </w:pBdr>
        <w:adjustRightInd/>
        <w:spacing w:after="160" w:line="259" w:lineRule="auto"/>
        <w:ind w:left="1418" w:hanging="709"/>
        <w:rPr>
          <w:color w:val="000000"/>
        </w:rPr>
      </w:pPr>
      <w:r>
        <w:rPr>
          <w:color w:val="000000"/>
        </w:rPr>
        <w:t>(</w:t>
      </w:r>
      <w:r w:rsidRPr="00463EEE">
        <w:rPr>
          <w:color w:val="000000"/>
        </w:rPr>
        <w:t xml:space="preserve">b) </w:t>
      </w:r>
      <w:r>
        <w:rPr>
          <w:color w:val="000000"/>
        </w:rPr>
        <w:tab/>
      </w:r>
      <w:r w:rsidR="006B56C1">
        <w:rPr>
          <w:color w:val="000000"/>
        </w:rPr>
        <w:t>w</w:t>
      </w:r>
      <w:r w:rsidRPr="00463EEE">
        <w:rPr>
          <w:color w:val="000000"/>
        </w:rPr>
        <w:t>ork effectively with members of the armed forces community, including people who may have experienced trauma, stigma or multiple disadvantage</w:t>
      </w:r>
    </w:p>
    <w:p w14:paraId="28335A4B" w14:textId="6187DF14" w:rsidR="00463EEE" w:rsidRPr="00463EEE" w:rsidRDefault="00463EEE" w:rsidP="00463EEE">
      <w:pPr>
        <w:pBdr>
          <w:top w:val="nil"/>
          <w:left w:val="nil"/>
          <w:bottom w:val="nil"/>
          <w:right w:val="nil"/>
          <w:between w:val="nil"/>
        </w:pBdr>
        <w:adjustRightInd/>
        <w:spacing w:after="160" w:line="259" w:lineRule="auto"/>
        <w:ind w:left="1418" w:hanging="709"/>
        <w:rPr>
          <w:color w:val="000000"/>
        </w:rPr>
      </w:pPr>
      <w:r>
        <w:rPr>
          <w:color w:val="000000"/>
        </w:rPr>
        <w:t>(</w:t>
      </w:r>
      <w:r w:rsidRPr="00463EEE">
        <w:rPr>
          <w:color w:val="000000"/>
        </w:rPr>
        <w:t xml:space="preserve">c) </w:t>
      </w:r>
      <w:r>
        <w:rPr>
          <w:color w:val="000000"/>
        </w:rPr>
        <w:tab/>
      </w:r>
      <w:r w:rsidR="006B56C1">
        <w:rPr>
          <w:color w:val="000000"/>
        </w:rPr>
        <w:t>c</w:t>
      </w:r>
      <w:r w:rsidRPr="00463EEE">
        <w:rPr>
          <w:color w:val="000000"/>
        </w:rPr>
        <w:t>ommunicate findings clearly and accessibly to a range of audiences including veterans, families, delivery partners, policymakers and funders</w:t>
      </w:r>
    </w:p>
    <w:p w14:paraId="551BAC76" w14:textId="126D3A8A" w:rsidR="00463EEE" w:rsidRPr="00463EEE" w:rsidRDefault="00463EEE" w:rsidP="00463EEE">
      <w:pPr>
        <w:pBdr>
          <w:top w:val="nil"/>
          <w:left w:val="nil"/>
          <w:bottom w:val="nil"/>
          <w:right w:val="nil"/>
          <w:between w:val="nil"/>
        </w:pBdr>
        <w:adjustRightInd/>
        <w:spacing w:after="160" w:line="259" w:lineRule="auto"/>
        <w:ind w:left="1418" w:hanging="709"/>
        <w:rPr>
          <w:color w:val="000000"/>
        </w:rPr>
      </w:pPr>
      <w:r>
        <w:rPr>
          <w:color w:val="000000"/>
        </w:rPr>
        <w:t>(</w:t>
      </w:r>
      <w:r w:rsidRPr="00463EEE">
        <w:rPr>
          <w:color w:val="000000"/>
        </w:rPr>
        <w:t xml:space="preserve">d) </w:t>
      </w:r>
      <w:r>
        <w:rPr>
          <w:color w:val="000000"/>
        </w:rPr>
        <w:tab/>
      </w:r>
      <w:r w:rsidR="006B56C1">
        <w:rPr>
          <w:color w:val="000000"/>
        </w:rPr>
        <w:t>o</w:t>
      </w:r>
      <w:r w:rsidRPr="00463EEE">
        <w:rPr>
          <w:color w:val="000000"/>
        </w:rPr>
        <w:t>perate within agreed timescales and budgets, managing risks proactively</w:t>
      </w:r>
    </w:p>
    <w:p w14:paraId="21B41412" w14:textId="097544FC" w:rsidR="00463EEE" w:rsidRPr="00463EEE" w:rsidRDefault="00463EEE" w:rsidP="00463EEE">
      <w:pPr>
        <w:pBdr>
          <w:top w:val="nil"/>
          <w:left w:val="nil"/>
          <w:bottom w:val="nil"/>
          <w:right w:val="nil"/>
          <w:between w:val="nil"/>
        </w:pBdr>
        <w:adjustRightInd/>
        <w:spacing w:after="160" w:line="259" w:lineRule="auto"/>
        <w:ind w:left="1418" w:hanging="709"/>
        <w:rPr>
          <w:color w:val="000000"/>
        </w:rPr>
      </w:pPr>
      <w:r>
        <w:rPr>
          <w:color w:val="000000"/>
        </w:rPr>
        <w:t>(</w:t>
      </w:r>
      <w:r w:rsidRPr="00463EEE">
        <w:rPr>
          <w:color w:val="000000"/>
        </w:rPr>
        <w:t xml:space="preserve">e) </w:t>
      </w:r>
      <w:r>
        <w:rPr>
          <w:color w:val="000000"/>
        </w:rPr>
        <w:tab/>
      </w:r>
      <w:r w:rsidR="006B56C1">
        <w:rPr>
          <w:color w:val="000000"/>
        </w:rPr>
        <w:t>c</w:t>
      </w:r>
      <w:r w:rsidRPr="00463EEE">
        <w:rPr>
          <w:color w:val="000000"/>
        </w:rPr>
        <w:t xml:space="preserve">ollaborate constructively with the </w:t>
      </w:r>
      <w:r w:rsidR="00443161">
        <w:rPr>
          <w:color w:val="000000"/>
        </w:rPr>
        <w:t>Trust</w:t>
      </w:r>
      <w:r w:rsidRPr="00463EEE">
        <w:rPr>
          <w:color w:val="000000"/>
        </w:rPr>
        <w:t>, other suppliers and stakeholders</w:t>
      </w:r>
    </w:p>
    <w:p w14:paraId="4A0A681A" w14:textId="17255913" w:rsidR="008B7289" w:rsidRDefault="00AF22CE" w:rsidP="007A3DF7">
      <w:pPr>
        <w:pBdr>
          <w:top w:val="nil"/>
          <w:left w:val="nil"/>
          <w:bottom w:val="nil"/>
          <w:right w:val="nil"/>
          <w:between w:val="nil"/>
        </w:pBdr>
        <w:adjustRightInd/>
        <w:spacing w:after="160" w:line="259" w:lineRule="auto"/>
        <w:ind w:left="709" w:hanging="425"/>
        <w:rPr>
          <w:color w:val="000000"/>
        </w:rPr>
      </w:pPr>
      <w:r>
        <w:rPr>
          <w:color w:val="000000"/>
        </w:rPr>
        <w:t>4</w:t>
      </w:r>
      <w:r w:rsidR="007A3DF7">
        <w:rPr>
          <w:color w:val="000000"/>
        </w:rPr>
        <w:t>.1.2</w:t>
      </w:r>
      <w:r w:rsidR="0003020E">
        <w:rPr>
          <w:color w:val="000000"/>
        </w:rPr>
        <w:t xml:space="preserve"> </w:t>
      </w:r>
      <w:r w:rsidR="00463EEE" w:rsidRPr="00463EEE">
        <w:rPr>
          <w:color w:val="000000"/>
        </w:rPr>
        <w:t xml:space="preserve">All work must comply with relevant professional standards, research ethics principles, data protection legislation and safeguarding </w:t>
      </w:r>
      <w:r w:rsidR="00463EEE" w:rsidRPr="00BA36A0">
        <w:rPr>
          <w:color w:val="000000"/>
        </w:rPr>
        <w:t xml:space="preserve">requirements (see </w:t>
      </w:r>
      <w:r w:rsidR="00BA36A0" w:rsidRPr="00BA36A0">
        <w:rPr>
          <w:color w:val="000000"/>
        </w:rPr>
        <w:t>sections 6 to 9</w:t>
      </w:r>
      <w:r w:rsidR="00463EEE" w:rsidRPr="00463EEE">
        <w:rPr>
          <w:color w:val="000000"/>
        </w:rPr>
        <w:t>).</w:t>
      </w:r>
    </w:p>
    <w:p w14:paraId="09A90CEB" w14:textId="77777777" w:rsidR="00B57E1A" w:rsidRPr="008F2BAC" w:rsidRDefault="00CF74B8" w:rsidP="00B57E1A">
      <w:pPr>
        <w:pBdr>
          <w:top w:val="nil"/>
          <w:left w:val="nil"/>
          <w:bottom w:val="nil"/>
          <w:right w:val="nil"/>
          <w:between w:val="nil"/>
        </w:pBdr>
        <w:adjustRightInd/>
        <w:spacing w:after="160" w:line="259" w:lineRule="auto"/>
        <w:rPr>
          <w:b/>
          <w:bCs/>
          <w:color w:val="000000"/>
        </w:rPr>
      </w:pPr>
      <w:r w:rsidRPr="008F2BAC">
        <w:rPr>
          <w:b/>
          <w:bCs/>
          <w:color w:val="000000"/>
        </w:rPr>
        <w:t>4.2</w:t>
      </w:r>
      <w:r w:rsidRPr="008F2BAC">
        <w:rPr>
          <w:b/>
          <w:bCs/>
          <w:color w:val="000000"/>
        </w:rPr>
        <w:tab/>
      </w:r>
      <w:r w:rsidR="00B57E1A" w:rsidRPr="008F2BAC">
        <w:rPr>
          <w:b/>
          <w:bCs/>
          <w:color w:val="000000"/>
        </w:rPr>
        <w:t>Impact and outcome evaluations</w:t>
      </w:r>
    </w:p>
    <w:p w14:paraId="7C36877F" w14:textId="1EA5B0DC" w:rsidR="00B57E1A" w:rsidRPr="00B57E1A" w:rsidRDefault="002C2BCD" w:rsidP="00B24CE7">
      <w:pPr>
        <w:pBdr>
          <w:top w:val="nil"/>
          <w:left w:val="nil"/>
          <w:bottom w:val="nil"/>
          <w:right w:val="nil"/>
          <w:between w:val="nil"/>
        </w:pBdr>
        <w:adjustRightInd/>
        <w:spacing w:after="160" w:line="259" w:lineRule="auto"/>
        <w:ind w:left="709" w:hanging="425"/>
        <w:rPr>
          <w:color w:val="000000"/>
        </w:rPr>
      </w:pPr>
      <w:r>
        <w:rPr>
          <w:color w:val="000000"/>
        </w:rPr>
        <w:t xml:space="preserve">4.2.1 </w:t>
      </w:r>
      <w:r w:rsidR="00B57E1A" w:rsidRPr="00B57E1A">
        <w:rPr>
          <w:color w:val="000000"/>
        </w:rPr>
        <w:t>For impact and outcome evaluations of grant programmes and other interventions, suppliers may be required to:</w:t>
      </w:r>
    </w:p>
    <w:p w14:paraId="52F91C2E" w14:textId="4A2EC66B" w:rsidR="00B57E1A" w:rsidRPr="00B57E1A" w:rsidRDefault="00B24CE7" w:rsidP="00B24CE7">
      <w:pPr>
        <w:pBdr>
          <w:top w:val="nil"/>
          <w:left w:val="nil"/>
          <w:bottom w:val="nil"/>
          <w:right w:val="nil"/>
          <w:between w:val="nil"/>
        </w:pBdr>
        <w:adjustRightInd/>
        <w:spacing w:after="160" w:line="259" w:lineRule="auto"/>
        <w:ind w:left="1440" w:hanging="731"/>
        <w:rPr>
          <w:color w:val="000000"/>
        </w:rPr>
      </w:pPr>
      <w:r>
        <w:rPr>
          <w:color w:val="000000"/>
        </w:rPr>
        <w:lastRenderedPageBreak/>
        <w:t>(</w:t>
      </w:r>
      <w:r w:rsidR="00B57E1A" w:rsidRPr="00B57E1A">
        <w:rPr>
          <w:color w:val="000000"/>
        </w:rPr>
        <w:t xml:space="preserve">a) </w:t>
      </w:r>
      <w:r>
        <w:rPr>
          <w:color w:val="000000"/>
        </w:rPr>
        <w:tab/>
      </w:r>
      <w:r w:rsidR="00123B7E">
        <w:rPr>
          <w:color w:val="000000"/>
        </w:rPr>
        <w:t>w</w:t>
      </w:r>
      <w:r w:rsidR="00B57E1A" w:rsidRPr="00B57E1A">
        <w:rPr>
          <w:color w:val="000000"/>
        </w:rPr>
        <w:t xml:space="preserve">ork with the </w:t>
      </w:r>
      <w:r w:rsidR="00123B7E">
        <w:rPr>
          <w:color w:val="000000"/>
        </w:rPr>
        <w:t>Trust</w:t>
      </w:r>
      <w:r w:rsidR="00B57E1A" w:rsidRPr="00B57E1A">
        <w:rPr>
          <w:color w:val="000000"/>
        </w:rPr>
        <w:t xml:space="preserve"> and delivery partners to </w:t>
      </w:r>
      <w:r w:rsidR="007C3C50">
        <w:rPr>
          <w:color w:val="000000"/>
        </w:rPr>
        <w:t xml:space="preserve">develop or </w:t>
      </w:r>
      <w:r w:rsidR="00B57E1A" w:rsidRPr="00B57E1A">
        <w:rPr>
          <w:color w:val="000000"/>
        </w:rPr>
        <w:t xml:space="preserve">clarify </w:t>
      </w:r>
      <w:r w:rsidR="007C3C50">
        <w:rPr>
          <w:color w:val="000000"/>
        </w:rPr>
        <w:t>a</w:t>
      </w:r>
      <w:r w:rsidR="00B57E1A" w:rsidRPr="00B57E1A">
        <w:rPr>
          <w:color w:val="000000"/>
        </w:rPr>
        <w:t xml:space="preserve"> theory of change / logic model</w:t>
      </w:r>
    </w:p>
    <w:p w14:paraId="39BAF318" w14:textId="7F7ED367" w:rsidR="00B57E1A" w:rsidRPr="00B57E1A" w:rsidRDefault="00B24CE7" w:rsidP="00B24CE7">
      <w:pPr>
        <w:pBdr>
          <w:top w:val="nil"/>
          <w:left w:val="nil"/>
          <w:bottom w:val="nil"/>
          <w:right w:val="nil"/>
          <w:between w:val="nil"/>
        </w:pBdr>
        <w:adjustRightInd/>
        <w:spacing w:after="160" w:line="259" w:lineRule="auto"/>
        <w:ind w:left="1440" w:hanging="731"/>
        <w:rPr>
          <w:color w:val="000000"/>
        </w:rPr>
      </w:pPr>
      <w:r>
        <w:rPr>
          <w:color w:val="000000"/>
        </w:rPr>
        <w:t>(</w:t>
      </w:r>
      <w:r w:rsidR="00B57E1A" w:rsidRPr="00B57E1A">
        <w:rPr>
          <w:color w:val="000000"/>
        </w:rPr>
        <w:t xml:space="preserve">b) </w:t>
      </w:r>
      <w:r>
        <w:rPr>
          <w:color w:val="000000"/>
        </w:rPr>
        <w:tab/>
      </w:r>
      <w:r w:rsidR="007C3C50">
        <w:rPr>
          <w:color w:val="000000"/>
        </w:rPr>
        <w:t>d</w:t>
      </w:r>
      <w:r w:rsidR="00B57E1A" w:rsidRPr="00B57E1A">
        <w:rPr>
          <w:color w:val="000000"/>
        </w:rPr>
        <w:t>evelop an evaluation framework and evaluation questions aligned with programme objectives</w:t>
      </w:r>
    </w:p>
    <w:p w14:paraId="26F316E6" w14:textId="5978DD40" w:rsidR="00B57E1A" w:rsidRPr="00E63C86" w:rsidRDefault="00B24CE7" w:rsidP="007C2105">
      <w:pPr>
        <w:pBdr>
          <w:top w:val="nil"/>
          <w:left w:val="nil"/>
          <w:bottom w:val="nil"/>
          <w:right w:val="nil"/>
          <w:between w:val="nil"/>
        </w:pBdr>
        <w:adjustRightInd/>
        <w:spacing w:after="160" w:line="259" w:lineRule="auto"/>
        <w:ind w:left="1440" w:hanging="731"/>
        <w:rPr>
          <w:color w:val="000000"/>
        </w:rPr>
      </w:pPr>
      <w:r>
        <w:rPr>
          <w:color w:val="000000"/>
        </w:rPr>
        <w:t>(</w:t>
      </w:r>
      <w:r w:rsidR="00B57E1A" w:rsidRPr="00B57E1A">
        <w:rPr>
          <w:color w:val="000000"/>
        </w:rPr>
        <w:t xml:space="preserve">c) </w:t>
      </w:r>
      <w:r>
        <w:rPr>
          <w:color w:val="000000"/>
        </w:rPr>
        <w:tab/>
      </w:r>
      <w:r w:rsidR="004E7333">
        <w:rPr>
          <w:color w:val="000000"/>
        </w:rPr>
        <w:t>d</w:t>
      </w:r>
      <w:r w:rsidR="00B57E1A" w:rsidRPr="00B57E1A">
        <w:rPr>
          <w:color w:val="000000"/>
        </w:rPr>
        <w:t>esign and implement appropriate quantitative and/or qualitative methods, which may include:</w:t>
      </w:r>
      <w:r w:rsidR="00665E9D">
        <w:rPr>
          <w:color w:val="000000"/>
        </w:rPr>
        <w:t xml:space="preserve"> </w:t>
      </w:r>
      <w:r w:rsidR="004E7333">
        <w:rPr>
          <w:color w:val="000000"/>
        </w:rPr>
        <w:t>s</w:t>
      </w:r>
      <w:r w:rsidR="00B57E1A" w:rsidRPr="004E7333">
        <w:rPr>
          <w:color w:val="000000"/>
        </w:rPr>
        <w:t>urveys (baseline, follow-up, longitudinal</w:t>
      </w:r>
      <w:r w:rsidR="00B57E1A" w:rsidRPr="00665E9D">
        <w:rPr>
          <w:color w:val="000000"/>
        </w:rPr>
        <w:t>)</w:t>
      </w:r>
      <w:r w:rsidR="00665E9D">
        <w:rPr>
          <w:color w:val="000000"/>
        </w:rPr>
        <w:t xml:space="preserve">; </w:t>
      </w:r>
      <w:r w:rsidR="004E7333">
        <w:rPr>
          <w:color w:val="000000"/>
        </w:rPr>
        <w:t>a</w:t>
      </w:r>
      <w:r w:rsidR="00B57E1A" w:rsidRPr="004E7333">
        <w:rPr>
          <w:color w:val="000000"/>
        </w:rPr>
        <w:t>dministrative data analysis</w:t>
      </w:r>
      <w:r w:rsidR="007C2105">
        <w:rPr>
          <w:color w:val="000000"/>
        </w:rPr>
        <w:t xml:space="preserve">; </w:t>
      </w:r>
      <w:r w:rsidR="004E7333">
        <w:rPr>
          <w:color w:val="000000"/>
        </w:rPr>
        <w:t>i</w:t>
      </w:r>
      <w:r w:rsidR="00B57E1A" w:rsidRPr="004E7333">
        <w:rPr>
          <w:color w:val="000000"/>
        </w:rPr>
        <w:t>nterviews and focus groups</w:t>
      </w:r>
      <w:r w:rsidR="007C2105">
        <w:rPr>
          <w:color w:val="000000"/>
        </w:rPr>
        <w:t xml:space="preserve">; </w:t>
      </w:r>
      <w:r w:rsidR="004E7333">
        <w:rPr>
          <w:color w:val="000000"/>
        </w:rPr>
        <w:t>c</w:t>
      </w:r>
      <w:r w:rsidR="00B57E1A" w:rsidRPr="004E7333">
        <w:rPr>
          <w:color w:val="000000"/>
        </w:rPr>
        <w:t>ase studies</w:t>
      </w:r>
      <w:r w:rsidR="007C2105">
        <w:rPr>
          <w:color w:val="000000"/>
        </w:rPr>
        <w:t xml:space="preserve">; and </w:t>
      </w:r>
      <w:r w:rsidR="00E63C86">
        <w:rPr>
          <w:color w:val="000000"/>
        </w:rPr>
        <w:t>c</w:t>
      </w:r>
      <w:r w:rsidR="00B57E1A" w:rsidRPr="00E63C86">
        <w:rPr>
          <w:color w:val="000000"/>
        </w:rPr>
        <w:t>omparative or quasi-experimental designs where feasible and proportionate</w:t>
      </w:r>
    </w:p>
    <w:p w14:paraId="56C24CFF" w14:textId="36CDA6A3" w:rsidR="00B57E1A" w:rsidRPr="00B57E1A" w:rsidRDefault="00E63C86" w:rsidP="00E63C86">
      <w:pPr>
        <w:pBdr>
          <w:top w:val="nil"/>
          <w:left w:val="nil"/>
          <w:bottom w:val="nil"/>
          <w:right w:val="nil"/>
          <w:between w:val="nil"/>
        </w:pBdr>
        <w:adjustRightInd/>
        <w:spacing w:after="160" w:line="259" w:lineRule="auto"/>
        <w:ind w:left="709"/>
        <w:rPr>
          <w:color w:val="000000"/>
        </w:rPr>
      </w:pPr>
      <w:r>
        <w:rPr>
          <w:color w:val="000000"/>
        </w:rPr>
        <w:t>(</w:t>
      </w:r>
      <w:r w:rsidR="00B57E1A" w:rsidRPr="00B57E1A">
        <w:rPr>
          <w:color w:val="000000"/>
        </w:rPr>
        <w:t xml:space="preserve">d) </w:t>
      </w:r>
      <w:r>
        <w:rPr>
          <w:color w:val="000000"/>
        </w:rPr>
        <w:tab/>
      </w:r>
      <w:r w:rsidR="007B687A">
        <w:rPr>
          <w:color w:val="000000"/>
        </w:rPr>
        <w:t>c</w:t>
      </w:r>
      <w:r w:rsidR="00B57E1A" w:rsidRPr="00B57E1A">
        <w:rPr>
          <w:color w:val="000000"/>
        </w:rPr>
        <w:t>ollect and manage data in line with ethical and data protection requirements</w:t>
      </w:r>
    </w:p>
    <w:p w14:paraId="7710AB80" w14:textId="342097A8" w:rsidR="00B57E1A" w:rsidRPr="00B57E1A" w:rsidRDefault="00E63C86" w:rsidP="00E63C86">
      <w:pPr>
        <w:pBdr>
          <w:top w:val="nil"/>
          <w:left w:val="nil"/>
          <w:bottom w:val="nil"/>
          <w:right w:val="nil"/>
          <w:between w:val="nil"/>
        </w:pBdr>
        <w:adjustRightInd/>
        <w:spacing w:after="160" w:line="259" w:lineRule="auto"/>
        <w:ind w:left="1440" w:hanging="731"/>
        <w:rPr>
          <w:color w:val="000000"/>
        </w:rPr>
      </w:pPr>
      <w:r>
        <w:rPr>
          <w:color w:val="000000"/>
        </w:rPr>
        <w:t>(</w:t>
      </w:r>
      <w:r w:rsidR="00B57E1A" w:rsidRPr="00B57E1A">
        <w:rPr>
          <w:color w:val="000000"/>
        </w:rPr>
        <w:t xml:space="preserve">e) </w:t>
      </w:r>
      <w:r>
        <w:rPr>
          <w:color w:val="000000"/>
        </w:rPr>
        <w:tab/>
      </w:r>
      <w:r w:rsidR="007B687A">
        <w:rPr>
          <w:color w:val="000000"/>
        </w:rPr>
        <w:t>a</w:t>
      </w:r>
      <w:r w:rsidR="00B57E1A" w:rsidRPr="00B57E1A">
        <w:rPr>
          <w:color w:val="000000"/>
        </w:rPr>
        <w:t>nalyse and interpret data, clearly identifying outcomes, impacts, limitations and causality where appropriate</w:t>
      </w:r>
    </w:p>
    <w:p w14:paraId="16C4995D" w14:textId="5D11696D" w:rsidR="0003020E" w:rsidRDefault="00E63C86" w:rsidP="00E63C86">
      <w:pPr>
        <w:pBdr>
          <w:top w:val="nil"/>
          <w:left w:val="nil"/>
          <w:bottom w:val="nil"/>
          <w:right w:val="nil"/>
          <w:between w:val="nil"/>
        </w:pBdr>
        <w:adjustRightInd/>
        <w:spacing w:after="160" w:line="259" w:lineRule="auto"/>
        <w:ind w:left="1440" w:hanging="731"/>
        <w:rPr>
          <w:color w:val="000000"/>
        </w:rPr>
      </w:pPr>
      <w:r>
        <w:rPr>
          <w:color w:val="000000"/>
        </w:rPr>
        <w:t>(</w:t>
      </w:r>
      <w:r w:rsidR="00B57E1A" w:rsidRPr="00B57E1A">
        <w:rPr>
          <w:color w:val="000000"/>
        </w:rPr>
        <w:t xml:space="preserve">f) </w:t>
      </w:r>
      <w:r>
        <w:rPr>
          <w:color w:val="000000"/>
        </w:rPr>
        <w:tab/>
      </w:r>
      <w:r w:rsidR="00B57E1A" w:rsidRPr="00B57E1A">
        <w:rPr>
          <w:color w:val="000000"/>
        </w:rPr>
        <w:t xml:space="preserve">Provide evidence-based conclusions and recommendations for the </w:t>
      </w:r>
      <w:r w:rsidR="002654EC">
        <w:rPr>
          <w:color w:val="000000"/>
        </w:rPr>
        <w:t>Trust</w:t>
      </w:r>
      <w:r w:rsidR="00B57E1A" w:rsidRPr="00B57E1A">
        <w:rPr>
          <w:color w:val="000000"/>
        </w:rPr>
        <w:t xml:space="preserve"> and </w:t>
      </w:r>
      <w:r w:rsidR="002C05D8">
        <w:rPr>
          <w:color w:val="000000"/>
        </w:rPr>
        <w:t xml:space="preserve">other </w:t>
      </w:r>
      <w:r w:rsidR="00B57E1A" w:rsidRPr="00B57E1A">
        <w:rPr>
          <w:color w:val="000000"/>
        </w:rPr>
        <w:t>stakeholders</w:t>
      </w:r>
      <w:r w:rsidR="00C23B85">
        <w:rPr>
          <w:color w:val="000000"/>
        </w:rPr>
        <w:t xml:space="preserve"> (e.g. MOD or OVA)</w:t>
      </w:r>
    </w:p>
    <w:p w14:paraId="1C9F5BA0" w14:textId="0B11CDA8" w:rsidR="00311391" w:rsidRDefault="00AB4D62" w:rsidP="00AB4D62">
      <w:pPr>
        <w:pBdr>
          <w:top w:val="nil"/>
          <w:left w:val="nil"/>
          <w:bottom w:val="nil"/>
          <w:right w:val="nil"/>
          <w:between w:val="nil"/>
        </w:pBdr>
        <w:adjustRightInd/>
        <w:spacing w:after="160" w:line="259" w:lineRule="auto"/>
        <w:ind w:left="709" w:hanging="709"/>
        <w:rPr>
          <w:b/>
          <w:bCs/>
          <w:color w:val="000000"/>
        </w:rPr>
      </w:pPr>
      <w:r w:rsidRPr="00AB4D62">
        <w:rPr>
          <w:b/>
          <w:bCs/>
          <w:color w:val="000000"/>
        </w:rPr>
        <w:t xml:space="preserve">4.3 </w:t>
      </w:r>
      <w:r>
        <w:rPr>
          <w:b/>
          <w:bCs/>
          <w:color w:val="000000"/>
        </w:rPr>
        <w:tab/>
      </w:r>
      <w:r w:rsidRPr="00AB4D62">
        <w:rPr>
          <w:b/>
          <w:bCs/>
          <w:color w:val="000000"/>
        </w:rPr>
        <w:t>Process and implementation evaluations</w:t>
      </w:r>
    </w:p>
    <w:p w14:paraId="09B32727" w14:textId="1867632F" w:rsidR="00175FAD" w:rsidRPr="00175FAD" w:rsidRDefault="000C1127" w:rsidP="00175FAD">
      <w:pPr>
        <w:pBdr>
          <w:top w:val="nil"/>
          <w:left w:val="nil"/>
          <w:bottom w:val="nil"/>
          <w:right w:val="nil"/>
          <w:between w:val="nil"/>
        </w:pBdr>
        <w:adjustRightInd/>
        <w:spacing w:after="160" w:line="259" w:lineRule="auto"/>
        <w:ind w:left="284"/>
        <w:rPr>
          <w:color w:val="000000"/>
        </w:rPr>
      </w:pPr>
      <w:r w:rsidRPr="000C1127">
        <w:rPr>
          <w:color w:val="000000"/>
        </w:rPr>
        <w:t>4.3.1</w:t>
      </w:r>
      <w:r w:rsidR="00175FAD">
        <w:rPr>
          <w:color w:val="000000"/>
        </w:rPr>
        <w:t xml:space="preserve"> </w:t>
      </w:r>
      <w:r w:rsidR="00175FAD" w:rsidRPr="00175FAD">
        <w:rPr>
          <w:color w:val="000000"/>
        </w:rPr>
        <w:t>For process evaluations, suppliers may be required to:</w:t>
      </w:r>
    </w:p>
    <w:p w14:paraId="38F1AB41" w14:textId="292EC385" w:rsidR="00175FAD" w:rsidRPr="00175FAD" w:rsidRDefault="00175FAD" w:rsidP="00175FAD">
      <w:pPr>
        <w:pBdr>
          <w:top w:val="nil"/>
          <w:left w:val="nil"/>
          <w:bottom w:val="nil"/>
          <w:right w:val="nil"/>
          <w:between w:val="nil"/>
        </w:pBdr>
        <w:adjustRightInd/>
        <w:spacing w:after="160" w:line="259" w:lineRule="auto"/>
        <w:ind w:left="709"/>
        <w:rPr>
          <w:color w:val="000000"/>
        </w:rPr>
      </w:pPr>
      <w:r>
        <w:rPr>
          <w:color w:val="000000"/>
        </w:rPr>
        <w:t>(</w:t>
      </w:r>
      <w:r w:rsidRPr="00175FAD">
        <w:rPr>
          <w:color w:val="000000"/>
        </w:rPr>
        <w:t xml:space="preserve">a) </w:t>
      </w:r>
      <w:r>
        <w:rPr>
          <w:color w:val="000000"/>
        </w:rPr>
        <w:tab/>
      </w:r>
      <w:r w:rsidR="00B3407E">
        <w:rPr>
          <w:color w:val="000000"/>
        </w:rPr>
        <w:t>e</w:t>
      </w:r>
      <w:r w:rsidRPr="00175FAD">
        <w:rPr>
          <w:color w:val="000000"/>
        </w:rPr>
        <w:t>xamine programme design, implementation and fidelity to the intended model</w:t>
      </w:r>
    </w:p>
    <w:p w14:paraId="2A43BD46" w14:textId="2979B450" w:rsidR="00175FAD" w:rsidRPr="00175FAD" w:rsidRDefault="00175FAD" w:rsidP="00175FAD">
      <w:pPr>
        <w:pBdr>
          <w:top w:val="nil"/>
          <w:left w:val="nil"/>
          <w:bottom w:val="nil"/>
          <w:right w:val="nil"/>
          <w:between w:val="nil"/>
        </w:pBdr>
        <w:adjustRightInd/>
        <w:spacing w:after="160" w:line="259" w:lineRule="auto"/>
        <w:ind w:left="709"/>
        <w:rPr>
          <w:color w:val="000000"/>
        </w:rPr>
      </w:pPr>
      <w:r>
        <w:rPr>
          <w:color w:val="000000"/>
        </w:rPr>
        <w:t>(</w:t>
      </w:r>
      <w:r w:rsidRPr="00175FAD">
        <w:rPr>
          <w:color w:val="000000"/>
        </w:rPr>
        <w:t>b)</w:t>
      </w:r>
      <w:r>
        <w:rPr>
          <w:color w:val="000000"/>
        </w:rPr>
        <w:tab/>
      </w:r>
      <w:r w:rsidR="00B3407E">
        <w:rPr>
          <w:color w:val="000000"/>
        </w:rPr>
        <w:t>e</w:t>
      </w:r>
      <w:r w:rsidRPr="00175FAD">
        <w:rPr>
          <w:color w:val="000000"/>
        </w:rPr>
        <w:t>xplore participant and stakeholder experiences</w:t>
      </w:r>
    </w:p>
    <w:p w14:paraId="03C0E60C" w14:textId="567A7A7A" w:rsidR="00175FAD" w:rsidRPr="00175FAD" w:rsidRDefault="00175FAD" w:rsidP="00175FAD">
      <w:pPr>
        <w:pBdr>
          <w:top w:val="nil"/>
          <w:left w:val="nil"/>
          <w:bottom w:val="nil"/>
          <w:right w:val="nil"/>
          <w:between w:val="nil"/>
        </w:pBdr>
        <w:adjustRightInd/>
        <w:spacing w:after="160" w:line="259" w:lineRule="auto"/>
        <w:ind w:left="709"/>
        <w:rPr>
          <w:color w:val="000000"/>
        </w:rPr>
      </w:pPr>
      <w:r>
        <w:rPr>
          <w:color w:val="000000"/>
        </w:rPr>
        <w:t>(</w:t>
      </w:r>
      <w:r w:rsidRPr="00175FAD">
        <w:rPr>
          <w:color w:val="000000"/>
        </w:rPr>
        <w:t>c)</w:t>
      </w:r>
      <w:r>
        <w:rPr>
          <w:color w:val="000000"/>
        </w:rPr>
        <w:tab/>
      </w:r>
      <w:r w:rsidR="00B3407E">
        <w:rPr>
          <w:color w:val="000000"/>
        </w:rPr>
        <w:t>i</w:t>
      </w:r>
      <w:r w:rsidRPr="00175FAD">
        <w:rPr>
          <w:color w:val="000000"/>
        </w:rPr>
        <w:t>dentify enabling and constraining factors, including contextual influences</w:t>
      </w:r>
    </w:p>
    <w:p w14:paraId="5A0D38D7" w14:textId="6C11C16B" w:rsidR="00AB4D62" w:rsidRDefault="00175FAD" w:rsidP="00175FAD">
      <w:pPr>
        <w:pBdr>
          <w:top w:val="nil"/>
          <w:left w:val="nil"/>
          <w:bottom w:val="nil"/>
          <w:right w:val="nil"/>
          <w:between w:val="nil"/>
        </w:pBdr>
        <w:adjustRightInd/>
        <w:spacing w:after="160" w:line="259" w:lineRule="auto"/>
        <w:ind w:left="709"/>
        <w:rPr>
          <w:color w:val="000000"/>
        </w:rPr>
      </w:pPr>
      <w:r>
        <w:rPr>
          <w:color w:val="000000"/>
        </w:rPr>
        <w:t>(</w:t>
      </w:r>
      <w:r w:rsidRPr="00175FAD">
        <w:rPr>
          <w:color w:val="000000"/>
        </w:rPr>
        <w:t>d)</w:t>
      </w:r>
      <w:r>
        <w:rPr>
          <w:color w:val="000000"/>
        </w:rPr>
        <w:tab/>
      </w:r>
      <w:r w:rsidR="00B3407E">
        <w:rPr>
          <w:color w:val="000000"/>
        </w:rPr>
        <w:t>p</w:t>
      </w:r>
      <w:r w:rsidRPr="00175FAD">
        <w:rPr>
          <w:color w:val="000000"/>
        </w:rPr>
        <w:t>rovide practical recommendations to strengthen delivery and scalability</w:t>
      </w:r>
    </w:p>
    <w:p w14:paraId="1A230064" w14:textId="10F777ED" w:rsidR="00B34016" w:rsidRPr="00950FA4" w:rsidRDefault="00CC11E9" w:rsidP="00B34016">
      <w:pPr>
        <w:pBdr>
          <w:top w:val="nil"/>
          <w:left w:val="nil"/>
          <w:bottom w:val="nil"/>
          <w:right w:val="nil"/>
          <w:between w:val="nil"/>
        </w:pBdr>
        <w:adjustRightInd/>
        <w:spacing w:after="160" w:line="259" w:lineRule="auto"/>
        <w:rPr>
          <w:b/>
          <w:bCs/>
          <w:color w:val="000000"/>
        </w:rPr>
      </w:pPr>
      <w:r w:rsidRPr="00950FA4">
        <w:rPr>
          <w:b/>
          <w:bCs/>
          <w:color w:val="000000"/>
        </w:rPr>
        <w:t>4.4</w:t>
      </w:r>
      <w:r w:rsidRPr="00950FA4">
        <w:rPr>
          <w:b/>
          <w:bCs/>
          <w:color w:val="000000"/>
        </w:rPr>
        <w:tab/>
        <w:t>Economic evaluations</w:t>
      </w:r>
    </w:p>
    <w:p w14:paraId="70FE2E53" w14:textId="5B0242CC" w:rsidR="00CC11E9" w:rsidRDefault="00CC11E9" w:rsidP="00CC11E9">
      <w:pPr>
        <w:pBdr>
          <w:top w:val="nil"/>
          <w:left w:val="nil"/>
          <w:bottom w:val="nil"/>
          <w:right w:val="nil"/>
          <w:between w:val="nil"/>
        </w:pBdr>
        <w:adjustRightInd/>
        <w:spacing w:after="160" w:line="259" w:lineRule="auto"/>
        <w:ind w:firstLine="284"/>
        <w:rPr>
          <w:color w:val="000000"/>
        </w:rPr>
      </w:pPr>
      <w:r>
        <w:rPr>
          <w:color w:val="000000"/>
        </w:rPr>
        <w:t xml:space="preserve">4.4.1 </w:t>
      </w:r>
      <w:r w:rsidR="00267353">
        <w:rPr>
          <w:color w:val="000000"/>
        </w:rPr>
        <w:t>For economic evaluations, suppliers may be required to</w:t>
      </w:r>
      <w:r w:rsidR="00F15BD2">
        <w:rPr>
          <w:color w:val="000000"/>
        </w:rPr>
        <w:t>:</w:t>
      </w:r>
    </w:p>
    <w:p w14:paraId="495BCCD2" w14:textId="748F03B6" w:rsidR="00F15BD2" w:rsidRDefault="00F15BD2" w:rsidP="006F0BAA">
      <w:pPr>
        <w:pBdr>
          <w:top w:val="nil"/>
          <w:left w:val="nil"/>
          <w:bottom w:val="nil"/>
          <w:right w:val="nil"/>
          <w:between w:val="nil"/>
        </w:pBdr>
        <w:adjustRightInd/>
        <w:spacing w:after="160" w:line="259" w:lineRule="auto"/>
        <w:ind w:left="1440" w:hanging="721"/>
        <w:rPr>
          <w:color w:val="000000"/>
        </w:rPr>
      </w:pPr>
      <w:r>
        <w:rPr>
          <w:color w:val="000000"/>
        </w:rPr>
        <w:t>(a)</w:t>
      </w:r>
      <w:r>
        <w:rPr>
          <w:color w:val="000000"/>
        </w:rPr>
        <w:tab/>
      </w:r>
      <w:r w:rsidR="00E06C84">
        <w:rPr>
          <w:color w:val="000000"/>
        </w:rPr>
        <w:t xml:space="preserve">define and </w:t>
      </w:r>
      <w:r w:rsidR="00950FA4">
        <w:rPr>
          <w:color w:val="000000"/>
        </w:rPr>
        <w:t>develop appropriate economic metrics</w:t>
      </w:r>
      <w:r w:rsidR="00EC31A8">
        <w:rPr>
          <w:color w:val="000000"/>
        </w:rPr>
        <w:t xml:space="preserve"> </w:t>
      </w:r>
      <w:r w:rsidR="00084004">
        <w:rPr>
          <w:color w:val="000000"/>
        </w:rPr>
        <w:t>and indicators</w:t>
      </w:r>
      <w:r w:rsidR="006F0BAA">
        <w:rPr>
          <w:color w:val="000000"/>
        </w:rPr>
        <w:t xml:space="preserve"> for projects and programmes</w:t>
      </w:r>
    </w:p>
    <w:p w14:paraId="7A4546ED" w14:textId="2CCAC144" w:rsidR="006F0BAA" w:rsidRDefault="006F0BAA" w:rsidP="007B687A">
      <w:pPr>
        <w:pBdr>
          <w:top w:val="nil"/>
          <w:left w:val="nil"/>
          <w:bottom w:val="nil"/>
          <w:right w:val="nil"/>
          <w:between w:val="nil"/>
        </w:pBdr>
        <w:adjustRightInd/>
        <w:spacing w:after="160" w:line="259" w:lineRule="auto"/>
        <w:ind w:left="1440" w:hanging="721"/>
        <w:rPr>
          <w:color w:val="000000"/>
        </w:rPr>
      </w:pPr>
      <w:r>
        <w:rPr>
          <w:color w:val="000000"/>
        </w:rPr>
        <w:t>(b)</w:t>
      </w:r>
      <w:r>
        <w:rPr>
          <w:color w:val="000000"/>
        </w:rPr>
        <w:tab/>
      </w:r>
      <w:r w:rsidR="007D116C">
        <w:rPr>
          <w:color w:val="000000"/>
        </w:rPr>
        <w:t>collect data</w:t>
      </w:r>
      <w:r w:rsidR="00573F71">
        <w:rPr>
          <w:color w:val="000000"/>
        </w:rPr>
        <w:t xml:space="preserve"> on resource use from appropriate sources</w:t>
      </w:r>
      <w:r w:rsidR="007B687A">
        <w:rPr>
          <w:color w:val="000000"/>
        </w:rPr>
        <w:t xml:space="preserve"> such as monitoring data, budgets and financial records</w:t>
      </w:r>
    </w:p>
    <w:p w14:paraId="617EEAC5" w14:textId="273CF9FC" w:rsidR="00390010" w:rsidRDefault="00390010" w:rsidP="007B687A">
      <w:pPr>
        <w:pBdr>
          <w:top w:val="nil"/>
          <w:left w:val="nil"/>
          <w:bottom w:val="nil"/>
          <w:right w:val="nil"/>
          <w:between w:val="nil"/>
        </w:pBdr>
        <w:adjustRightInd/>
        <w:spacing w:after="160" w:line="259" w:lineRule="auto"/>
        <w:ind w:left="1440" w:hanging="721"/>
        <w:rPr>
          <w:color w:val="000000"/>
        </w:rPr>
      </w:pPr>
      <w:r>
        <w:rPr>
          <w:color w:val="000000"/>
        </w:rPr>
        <w:t>(c)</w:t>
      </w:r>
      <w:r>
        <w:rPr>
          <w:color w:val="000000"/>
        </w:rPr>
        <w:tab/>
      </w:r>
      <w:r w:rsidR="005A3889">
        <w:rPr>
          <w:color w:val="000000"/>
        </w:rPr>
        <w:t xml:space="preserve">explore </w:t>
      </w:r>
      <w:r w:rsidR="00E1645E">
        <w:rPr>
          <w:color w:val="000000"/>
        </w:rPr>
        <w:t xml:space="preserve">and analyse counterfactual </w:t>
      </w:r>
      <w:r w:rsidR="00B1594B">
        <w:rPr>
          <w:color w:val="000000"/>
        </w:rPr>
        <w:t>assumptions</w:t>
      </w:r>
      <w:r w:rsidR="00E67B8F">
        <w:rPr>
          <w:color w:val="000000"/>
        </w:rPr>
        <w:t xml:space="preserve"> and economic indicators</w:t>
      </w:r>
      <w:r w:rsidR="004A501B">
        <w:rPr>
          <w:color w:val="000000"/>
        </w:rPr>
        <w:t xml:space="preserve"> such as cost-effectiveness, cost-benefit ratios</w:t>
      </w:r>
      <w:r w:rsidR="007B24FF">
        <w:rPr>
          <w:color w:val="000000"/>
        </w:rPr>
        <w:t xml:space="preserve"> or social return </w:t>
      </w:r>
      <w:r w:rsidR="005226B4">
        <w:rPr>
          <w:color w:val="000000"/>
        </w:rPr>
        <w:t xml:space="preserve">on </w:t>
      </w:r>
      <w:r w:rsidR="004C1F0C">
        <w:rPr>
          <w:color w:val="000000"/>
        </w:rPr>
        <w:t>investment estimates</w:t>
      </w:r>
    </w:p>
    <w:p w14:paraId="5C462A7A" w14:textId="16DAC29D" w:rsidR="00390E10" w:rsidRPr="00FA1E49" w:rsidRDefault="00390E10" w:rsidP="00390E10">
      <w:pPr>
        <w:pBdr>
          <w:top w:val="nil"/>
          <w:left w:val="nil"/>
          <w:bottom w:val="nil"/>
          <w:right w:val="nil"/>
          <w:between w:val="nil"/>
        </w:pBdr>
        <w:adjustRightInd/>
        <w:spacing w:after="160" w:line="259" w:lineRule="auto"/>
        <w:rPr>
          <w:b/>
          <w:bCs/>
          <w:color w:val="000000"/>
        </w:rPr>
      </w:pPr>
      <w:r w:rsidRPr="00FA1E49">
        <w:rPr>
          <w:b/>
          <w:bCs/>
          <w:color w:val="000000"/>
        </w:rPr>
        <w:t>4.5</w:t>
      </w:r>
      <w:r w:rsidRPr="00FA1E49">
        <w:rPr>
          <w:b/>
          <w:bCs/>
          <w:color w:val="000000"/>
        </w:rPr>
        <w:tab/>
        <w:t xml:space="preserve">Evidence reviews and evidence </w:t>
      </w:r>
      <w:r w:rsidR="00515E5D">
        <w:rPr>
          <w:b/>
          <w:bCs/>
          <w:color w:val="000000"/>
        </w:rPr>
        <w:t xml:space="preserve">and </w:t>
      </w:r>
      <w:r w:rsidRPr="00FA1E49">
        <w:rPr>
          <w:b/>
          <w:bCs/>
          <w:color w:val="000000"/>
        </w:rPr>
        <w:t>gap mapping</w:t>
      </w:r>
    </w:p>
    <w:p w14:paraId="16A3FA9E" w14:textId="34CEE5A8" w:rsidR="00390E10" w:rsidRPr="00390E10" w:rsidRDefault="0061693F" w:rsidP="00213499">
      <w:pPr>
        <w:pBdr>
          <w:top w:val="nil"/>
          <w:left w:val="nil"/>
          <w:bottom w:val="nil"/>
          <w:right w:val="nil"/>
          <w:between w:val="nil"/>
        </w:pBdr>
        <w:adjustRightInd/>
        <w:spacing w:after="160" w:line="259" w:lineRule="auto"/>
        <w:ind w:left="284"/>
        <w:rPr>
          <w:color w:val="000000"/>
        </w:rPr>
      </w:pPr>
      <w:r>
        <w:rPr>
          <w:color w:val="000000"/>
        </w:rPr>
        <w:t>4.5</w:t>
      </w:r>
      <w:r w:rsidR="00390E10" w:rsidRPr="00390E10">
        <w:rPr>
          <w:color w:val="000000"/>
        </w:rPr>
        <w:t>.1 For evidence reviews and evidence and gap maps, suppliers may be required to:</w:t>
      </w:r>
    </w:p>
    <w:p w14:paraId="2BD23067" w14:textId="4AE45682" w:rsidR="00390E10" w:rsidRPr="00390E10" w:rsidRDefault="00213499" w:rsidP="00213499">
      <w:pPr>
        <w:pBdr>
          <w:top w:val="nil"/>
          <w:left w:val="nil"/>
          <w:bottom w:val="nil"/>
          <w:right w:val="nil"/>
          <w:between w:val="nil"/>
        </w:pBdr>
        <w:adjustRightInd/>
        <w:spacing w:after="160" w:line="259" w:lineRule="auto"/>
        <w:ind w:left="709"/>
        <w:rPr>
          <w:color w:val="000000"/>
        </w:rPr>
      </w:pPr>
      <w:r>
        <w:rPr>
          <w:color w:val="000000"/>
        </w:rPr>
        <w:t>(</w:t>
      </w:r>
      <w:r w:rsidR="00390E10" w:rsidRPr="00390E10">
        <w:rPr>
          <w:color w:val="000000"/>
        </w:rPr>
        <w:t xml:space="preserve">a) </w:t>
      </w:r>
      <w:r>
        <w:rPr>
          <w:color w:val="000000"/>
        </w:rPr>
        <w:tab/>
        <w:t>d</w:t>
      </w:r>
      <w:r w:rsidR="00390E10" w:rsidRPr="00390E10">
        <w:rPr>
          <w:color w:val="000000"/>
        </w:rPr>
        <w:t>evelop and agree review questions and inclusion criteria</w:t>
      </w:r>
    </w:p>
    <w:p w14:paraId="3997B151" w14:textId="34D7A6D9" w:rsidR="00390E10" w:rsidRPr="00390E10" w:rsidRDefault="00213499" w:rsidP="00213499">
      <w:pPr>
        <w:pBdr>
          <w:top w:val="nil"/>
          <w:left w:val="nil"/>
          <w:bottom w:val="nil"/>
          <w:right w:val="nil"/>
          <w:between w:val="nil"/>
        </w:pBdr>
        <w:adjustRightInd/>
        <w:spacing w:after="160" w:line="259" w:lineRule="auto"/>
        <w:ind w:left="709"/>
        <w:rPr>
          <w:color w:val="000000"/>
        </w:rPr>
      </w:pPr>
      <w:r>
        <w:rPr>
          <w:color w:val="000000"/>
        </w:rPr>
        <w:t>(</w:t>
      </w:r>
      <w:r w:rsidR="00390E10" w:rsidRPr="00390E10">
        <w:rPr>
          <w:color w:val="000000"/>
        </w:rPr>
        <w:t xml:space="preserve">b) </w:t>
      </w:r>
      <w:r>
        <w:rPr>
          <w:color w:val="000000"/>
        </w:rPr>
        <w:tab/>
      </w:r>
      <w:r w:rsidR="00FA1E49">
        <w:rPr>
          <w:color w:val="000000"/>
        </w:rPr>
        <w:t>d</w:t>
      </w:r>
      <w:r w:rsidR="00390E10" w:rsidRPr="00390E10">
        <w:rPr>
          <w:color w:val="000000"/>
        </w:rPr>
        <w:t>esign and execute transparent and reproducible search strategies</w:t>
      </w:r>
    </w:p>
    <w:p w14:paraId="0B7A385C" w14:textId="7269AE8D" w:rsidR="00390E10" w:rsidRPr="00390E10" w:rsidRDefault="00213499" w:rsidP="00213499">
      <w:pPr>
        <w:pBdr>
          <w:top w:val="nil"/>
          <w:left w:val="nil"/>
          <w:bottom w:val="nil"/>
          <w:right w:val="nil"/>
          <w:between w:val="nil"/>
        </w:pBdr>
        <w:adjustRightInd/>
        <w:spacing w:after="160" w:line="259" w:lineRule="auto"/>
        <w:ind w:left="709"/>
        <w:rPr>
          <w:color w:val="000000"/>
        </w:rPr>
      </w:pPr>
      <w:r>
        <w:rPr>
          <w:color w:val="000000"/>
        </w:rPr>
        <w:t>(</w:t>
      </w:r>
      <w:r w:rsidR="00390E10" w:rsidRPr="00390E10">
        <w:rPr>
          <w:color w:val="000000"/>
        </w:rPr>
        <w:t xml:space="preserve">c) </w:t>
      </w:r>
      <w:r>
        <w:rPr>
          <w:color w:val="000000"/>
        </w:rPr>
        <w:tab/>
      </w:r>
      <w:r w:rsidR="00FA1E49">
        <w:rPr>
          <w:color w:val="000000"/>
        </w:rPr>
        <w:t>s</w:t>
      </w:r>
      <w:r w:rsidR="00390E10" w:rsidRPr="00390E10">
        <w:rPr>
          <w:color w:val="000000"/>
        </w:rPr>
        <w:t>creen and select studies in line with agreed protocols</w:t>
      </w:r>
    </w:p>
    <w:p w14:paraId="6AD0E348" w14:textId="5B5A3B67" w:rsidR="00390E10" w:rsidRPr="00390E10" w:rsidRDefault="00213499" w:rsidP="00213499">
      <w:pPr>
        <w:pBdr>
          <w:top w:val="nil"/>
          <w:left w:val="nil"/>
          <w:bottom w:val="nil"/>
          <w:right w:val="nil"/>
          <w:between w:val="nil"/>
        </w:pBdr>
        <w:adjustRightInd/>
        <w:spacing w:after="160" w:line="259" w:lineRule="auto"/>
        <w:ind w:left="709"/>
        <w:rPr>
          <w:color w:val="000000"/>
        </w:rPr>
      </w:pPr>
      <w:r>
        <w:rPr>
          <w:color w:val="000000"/>
        </w:rPr>
        <w:t>(</w:t>
      </w:r>
      <w:r w:rsidR="00390E10" w:rsidRPr="00390E10">
        <w:rPr>
          <w:color w:val="000000"/>
        </w:rPr>
        <w:t xml:space="preserve">d) </w:t>
      </w:r>
      <w:r>
        <w:rPr>
          <w:color w:val="000000"/>
        </w:rPr>
        <w:tab/>
      </w:r>
      <w:r w:rsidR="00FA1E49">
        <w:rPr>
          <w:color w:val="000000"/>
        </w:rPr>
        <w:t>e</w:t>
      </w:r>
      <w:r w:rsidR="00390E10" w:rsidRPr="00390E10">
        <w:rPr>
          <w:color w:val="000000"/>
        </w:rPr>
        <w:t>xtract, summarise and critically appraise evidence quality</w:t>
      </w:r>
    </w:p>
    <w:p w14:paraId="6AAC3465" w14:textId="2FA5B2B7" w:rsidR="00390E10" w:rsidRPr="00390E10" w:rsidRDefault="00213499" w:rsidP="00213499">
      <w:pPr>
        <w:pBdr>
          <w:top w:val="nil"/>
          <w:left w:val="nil"/>
          <w:bottom w:val="nil"/>
          <w:right w:val="nil"/>
          <w:between w:val="nil"/>
        </w:pBdr>
        <w:adjustRightInd/>
        <w:spacing w:after="160" w:line="259" w:lineRule="auto"/>
        <w:ind w:left="1440" w:hanging="731"/>
        <w:rPr>
          <w:color w:val="000000"/>
        </w:rPr>
      </w:pPr>
      <w:r>
        <w:rPr>
          <w:color w:val="000000"/>
        </w:rPr>
        <w:t>(</w:t>
      </w:r>
      <w:r w:rsidR="00390E10" w:rsidRPr="00390E10">
        <w:rPr>
          <w:color w:val="000000"/>
        </w:rPr>
        <w:t xml:space="preserve">e) </w:t>
      </w:r>
      <w:r>
        <w:rPr>
          <w:color w:val="000000"/>
        </w:rPr>
        <w:tab/>
      </w:r>
      <w:r w:rsidR="00FA1E49">
        <w:rPr>
          <w:color w:val="000000"/>
        </w:rPr>
        <w:t>p</w:t>
      </w:r>
      <w:r w:rsidR="00390E10" w:rsidRPr="00390E10">
        <w:rPr>
          <w:color w:val="000000"/>
        </w:rPr>
        <w:t>roduce evidence maps showing the nature, strength and gaps in the evidence base</w:t>
      </w:r>
    </w:p>
    <w:p w14:paraId="64B29781" w14:textId="4A5F381D" w:rsidR="00275F5E" w:rsidRDefault="00213499" w:rsidP="00213499">
      <w:pPr>
        <w:pBdr>
          <w:top w:val="nil"/>
          <w:left w:val="nil"/>
          <w:bottom w:val="nil"/>
          <w:right w:val="nil"/>
          <w:between w:val="nil"/>
        </w:pBdr>
        <w:adjustRightInd/>
        <w:spacing w:after="160" w:line="259" w:lineRule="auto"/>
        <w:ind w:left="1440" w:hanging="731"/>
        <w:rPr>
          <w:color w:val="000000"/>
        </w:rPr>
      </w:pPr>
      <w:r>
        <w:rPr>
          <w:color w:val="000000"/>
        </w:rPr>
        <w:t>(</w:t>
      </w:r>
      <w:r w:rsidR="00390E10" w:rsidRPr="00390E10">
        <w:rPr>
          <w:color w:val="000000"/>
        </w:rPr>
        <w:t xml:space="preserve">f) </w:t>
      </w:r>
      <w:r>
        <w:rPr>
          <w:color w:val="000000"/>
        </w:rPr>
        <w:tab/>
      </w:r>
      <w:r w:rsidR="00FA1E49">
        <w:rPr>
          <w:color w:val="000000"/>
        </w:rPr>
        <w:t>i</w:t>
      </w:r>
      <w:r w:rsidR="00390E10" w:rsidRPr="00390E10">
        <w:rPr>
          <w:color w:val="000000"/>
        </w:rPr>
        <w:t>dentify implications for policy, practice and future research, including clear articulation of evidence gaps relevant to the armed forces community</w:t>
      </w:r>
      <w:r w:rsidR="00896355">
        <w:rPr>
          <w:color w:val="000000"/>
        </w:rPr>
        <w:t xml:space="preserve"> </w:t>
      </w:r>
      <w:r w:rsidR="008B53D5">
        <w:rPr>
          <w:color w:val="000000"/>
        </w:rPr>
        <w:t>or the development of the Trust’s grant programmes</w:t>
      </w:r>
    </w:p>
    <w:p w14:paraId="2E5C64D1" w14:textId="4AF2BBEC" w:rsidR="008646F5" w:rsidRDefault="008646F5" w:rsidP="00AA0F4D">
      <w:pPr>
        <w:pStyle w:val="Level1Heading"/>
        <w:numPr>
          <w:ilvl w:val="0"/>
          <w:numId w:val="72"/>
        </w:numPr>
      </w:pPr>
      <w:r>
        <w:lastRenderedPageBreak/>
        <w:t>DELIVERABLES</w:t>
      </w:r>
    </w:p>
    <w:p w14:paraId="54D97F8A" w14:textId="198328FE" w:rsidR="00976DB2" w:rsidRDefault="00976DB2" w:rsidP="00AA0F4D">
      <w:pPr>
        <w:pStyle w:val="Level2"/>
        <w:numPr>
          <w:ilvl w:val="1"/>
          <w:numId w:val="74"/>
        </w:numPr>
      </w:pPr>
      <w:r>
        <w:t xml:space="preserve">Specific deliverables for each </w:t>
      </w:r>
      <w:r w:rsidR="00626686">
        <w:t>Call-Off</w:t>
      </w:r>
      <w:r>
        <w:t xml:space="preserve"> </w:t>
      </w:r>
      <w:r w:rsidR="0063571A">
        <w:t>c</w:t>
      </w:r>
      <w:r>
        <w:t xml:space="preserve">ontract will be defined in the relevant </w:t>
      </w:r>
      <w:r w:rsidR="00626686">
        <w:t>Call-Off</w:t>
      </w:r>
      <w:r>
        <w:t xml:space="preserve"> documentation, but may include:</w:t>
      </w:r>
    </w:p>
    <w:p w14:paraId="36FEB131" w14:textId="30C8125C" w:rsidR="00976DB2" w:rsidRDefault="00E9619A" w:rsidP="005231E1">
      <w:pPr>
        <w:pStyle w:val="Level2"/>
        <w:numPr>
          <w:ilvl w:val="0"/>
          <w:numId w:val="0"/>
        </w:numPr>
        <w:ind w:left="1440" w:hanging="720"/>
        <w:jc w:val="left"/>
      </w:pPr>
      <w:r>
        <w:t>(</w:t>
      </w:r>
      <w:r w:rsidR="00976DB2">
        <w:t xml:space="preserve">a) </w:t>
      </w:r>
      <w:r w:rsidR="0063571A">
        <w:tab/>
      </w:r>
      <w:r>
        <w:t>i</w:t>
      </w:r>
      <w:r w:rsidR="00976DB2">
        <w:t>nception report, including refined questions, methodology, sampling strategy, ethical and safeguarding considerations and detailed workplan</w:t>
      </w:r>
    </w:p>
    <w:p w14:paraId="63E07965" w14:textId="06751EF4" w:rsidR="00976DB2" w:rsidRDefault="00E9619A" w:rsidP="005231E1">
      <w:pPr>
        <w:pStyle w:val="Level2"/>
        <w:numPr>
          <w:ilvl w:val="0"/>
          <w:numId w:val="0"/>
        </w:numPr>
        <w:ind w:left="1440" w:hanging="720"/>
        <w:jc w:val="left"/>
      </w:pPr>
      <w:r>
        <w:t>(</w:t>
      </w:r>
      <w:r w:rsidR="00976DB2">
        <w:t xml:space="preserve">b) </w:t>
      </w:r>
      <w:r w:rsidR="0063571A">
        <w:tab/>
      </w:r>
      <w:r w:rsidR="007A35E5">
        <w:t>d</w:t>
      </w:r>
      <w:r w:rsidR="00976DB2">
        <w:t>ata collection tools, such as topic guides, questionnaires, consent forms and templates</w:t>
      </w:r>
    </w:p>
    <w:p w14:paraId="359DF44E" w14:textId="56312DB6" w:rsidR="00976DB2" w:rsidRDefault="00E9619A" w:rsidP="005231E1">
      <w:pPr>
        <w:pStyle w:val="Level2"/>
        <w:numPr>
          <w:ilvl w:val="0"/>
          <w:numId w:val="0"/>
        </w:numPr>
        <w:ind w:left="720"/>
        <w:jc w:val="left"/>
      </w:pPr>
      <w:r>
        <w:t>(</w:t>
      </w:r>
      <w:r w:rsidR="00976DB2">
        <w:t>c)</w:t>
      </w:r>
      <w:r w:rsidR="0063571A">
        <w:tab/>
      </w:r>
      <w:r w:rsidR="007A35E5">
        <w:t>i</w:t>
      </w:r>
      <w:r w:rsidR="00976DB2">
        <w:t>nterim and/or formative reports, including emerging findings and learning</w:t>
      </w:r>
    </w:p>
    <w:p w14:paraId="07B21B4C" w14:textId="37B38C5D" w:rsidR="00976DB2" w:rsidRDefault="00E9619A" w:rsidP="005231E1">
      <w:pPr>
        <w:pStyle w:val="Level2"/>
        <w:numPr>
          <w:ilvl w:val="0"/>
          <w:numId w:val="0"/>
        </w:numPr>
        <w:ind w:left="1440" w:hanging="720"/>
        <w:jc w:val="left"/>
      </w:pPr>
      <w:r>
        <w:t>(</w:t>
      </w:r>
      <w:r w:rsidR="00976DB2">
        <w:t xml:space="preserve">d) </w:t>
      </w:r>
      <w:r w:rsidR="0063571A">
        <w:tab/>
      </w:r>
      <w:r w:rsidR="007A35E5">
        <w:t>f</w:t>
      </w:r>
      <w:r w:rsidR="00976DB2">
        <w:t>inal report setting out background, methods, findings, conclusions and recommendations, including a clear description of limitations and implications</w:t>
      </w:r>
    </w:p>
    <w:p w14:paraId="56CDE69C" w14:textId="7E1C9F2D" w:rsidR="00976DB2" w:rsidRDefault="00E9619A" w:rsidP="005231E1">
      <w:pPr>
        <w:pStyle w:val="Level2"/>
        <w:numPr>
          <w:ilvl w:val="0"/>
          <w:numId w:val="0"/>
        </w:numPr>
        <w:ind w:left="1440" w:hanging="720"/>
        <w:jc w:val="left"/>
      </w:pPr>
      <w:r>
        <w:t>(</w:t>
      </w:r>
      <w:r w:rsidR="00976DB2">
        <w:t xml:space="preserve">e) </w:t>
      </w:r>
      <w:r w:rsidR="0063571A">
        <w:tab/>
      </w:r>
      <w:r w:rsidR="007A35E5">
        <w:t>e</w:t>
      </w:r>
      <w:r w:rsidR="00976DB2">
        <w:t>xecutive summaries and accessible summaries (e.g. short briefings, slide decks, infographics) tailored to non-technical audiences.</w:t>
      </w:r>
    </w:p>
    <w:p w14:paraId="3414CAC3" w14:textId="4B87B2C4" w:rsidR="00976DB2" w:rsidRDefault="00E9619A" w:rsidP="005231E1">
      <w:pPr>
        <w:pStyle w:val="Level2"/>
        <w:numPr>
          <w:ilvl w:val="0"/>
          <w:numId w:val="0"/>
        </w:numPr>
        <w:ind w:left="1440" w:hanging="720"/>
        <w:jc w:val="left"/>
      </w:pPr>
      <w:r>
        <w:t>(</w:t>
      </w:r>
      <w:r w:rsidR="00976DB2">
        <w:t xml:space="preserve">f) </w:t>
      </w:r>
      <w:r w:rsidR="0063571A">
        <w:tab/>
      </w:r>
      <w:r w:rsidR="007A35E5">
        <w:t>p</w:t>
      </w:r>
      <w:r w:rsidR="00976DB2">
        <w:t xml:space="preserve">resentations or workshops to share and discuss findings with the </w:t>
      </w:r>
      <w:r w:rsidR="00EF0FF3">
        <w:t>Trust</w:t>
      </w:r>
      <w:r w:rsidR="00976DB2">
        <w:t xml:space="preserve"> and stakeholders.</w:t>
      </w:r>
    </w:p>
    <w:p w14:paraId="1CB35762" w14:textId="275224E7" w:rsidR="00976DB2" w:rsidRDefault="00E9619A" w:rsidP="005231E1">
      <w:pPr>
        <w:pStyle w:val="Level2"/>
        <w:numPr>
          <w:ilvl w:val="0"/>
          <w:numId w:val="0"/>
        </w:numPr>
        <w:ind w:left="1440" w:hanging="720"/>
        <w:jc w:val="left"/>
      </w:pPr>
      <w:r>
        <w:t>(</w:t>
      </w:r>
      <w:r w:rsidR="00976DB2">
        <w:t xml:space="preserve">g) </w:t>
      </w:r>
      <w:r w:rsidR="0063571A">
        <w:tab/>
      </w:r>
      <w:r w:rsidR="007A35E5">
        <w:t>c</w:t>
      </w:r>
      <w:r w:rsidR="00976DB2">
        <w:t>leaned and anonymised datasets, codebooks and/or analysis syntax where required and lawful.</w:t>
      </w:r>
    </w:p>
    <w:p w14:paraId="272C1B73" w14:textId="155E864A" w:rsidR="00976DB2" w:rsidRDefault="00E9619A" w:rsidP="005231E1">
      <w:pPr>
        <w:pStyle w:val="Level2"/>
        <w:numPr>
          <w:ilvl w:val="0"/>
          <w:numId w:val="0"/>
        </w:numPr>
        <w:ind w:left="1440" w:hanging="720"/>
        <w:jc w:val="left"/>
      </w:pPr>
      <w:r>
        <w:t>(</w:t>
      </w:r>
      <w:r w:rsidR="00976DB2">
        <w:t xml:space="preserve">h) </w:t>
      </w:r>
      <w:r w:rsidR="0063571A">
        <w:tab/>
      </w:r>
      <w:r w:rsidR="007A35E5">
        <w:t>l</w:t>
      </w:r>
      <w:r w:rsidR="00976DB2">
        <w:t>earning products, such as evidence briefings, case studies, practice guides or toolkits.</w:t>
      </w:r>
    </w:p>
    <w:p w14:paraId="13C52058" w14:textId="2EC5DC52" w:rsidR="00B623CA" w:rsidRDefault="00E12D78" w:rsidP="005231E1">
      <w:pPr>
        <w:pStyle w:val="Level2"/>
        <w:numPr>
          <w:ilvl w:val="0"/>
          <w:numId w:val="0"/>
        </w:numPr>
        <w:ind w:left="720" w:hanging="720"/>
        <w:jc w:val="left"/>
      </w:pPr>
      <w:r>
        <w:t>5.2</w:t>
      </w:r>
      <w:r w:rsidR="005231E1">
        <w:tab/>
      </w:r>
      <w:r w:rsidR="00976DB2">
        <w:t xml:space="preserve">All written outputs shall be provided in formats agreed with the </w:t>
      </w:r>
      <w:r w:rsidR="00E9619A">
        <w:t>Trust</w:t>
      </w:r>
      <w:r w:rsidR="00976DB2">
        <w:t xml:space="preserve"> (e.g. MS Word, PowerPoint, PDF) and to agreed design and accessibility standards.</w:t>
      </w:r>
    </w:p>
    <w:p w14:paraId="66848B83" w14:textId="69ABED58" w:rsidR="00D21E50" w:rsidRDefault="00820B33" w:rsidP="00820B33">
      <w:pPr>
        <w:pStyle w:val="Level2"/>
        <w:numPr>
          <w:ilvl w:val="0"/>
          <w:numId w:val="0"/>
        </w:numPr>
        <w:ind w:left="284" w:hanging="295"/>
        <w:jc w:val="left"/>
        <w:rPr>
          <w:b/>
          <w:bCs/>
        </w:rPr>
      </w:pPr>
      <w:r w:rsidRPr="00820B33">
        <w:rPr>
          <w:b/>
          <w:bCs/>
        </w:rPr>
        <w:t>6</w:t>
      </w:r>
      <w:r w:rsidRPr="00820B33">
        <w:rPr>
          <w:b/>
          <w:bCs/>
        </w:rPr>
        <w:tab/>
        <w:t>QUALITY STANDARDS AND METHODS</w:t>
      </w:r>
    </w:p>
    <w:p w14:paraId="508A369C" w14:textId="68311F75" w:rsidR="0005538A" w:rsidRDefault="0005538A" w:rsidP="006C461F">
      <w:pPr>
        <w:pStyle w:val="Level2"/>
        <w:numPr>
          <w:ilvl w:val="0"/>
          <w:numId w:val="0"/>
        </w:numPr>
        <w:ind w:left="720" w:hanging="731"/>
        <w:jc w:val="left"/>
      </w:pPr>
      <w:r w:rsidRPr="0005538A">
        <w:t>6.1</w:t>
      </w:r>
      <w:r>
        <w:tab/>
      </w:r>
      <w:r w:rsidR="00907168">
        <w:t xml:space="preserve">All services must be delivered in accordance with recognised </w:t>
      </w:r>
      <w:r w:rsidR="006C461F">
        <w:t>good practice and standards in research and evaluation</w:t>
      </w:r>
      <w:r w:rsidR="0009433E">
        <w:t>, including</w:t>
      </w:r>
      <w:r w:rsidR="00AD3FEF">
        <w:t>:</w:t>
      </w:r>
    </w:p>
    <w:p w14:paraId="2E2EEF98" w14:textId="6B508307" w:rsidR="00AD3FEF" w:rsidRDefault="00315508" w:rsidP="006C461F">
      <w:pPr>
        <w:pStyle w:val="Level2"/>
        <w:numPr>
          <w:ilvl w:val="0"/>
          <w:numId w:val="0"/>
        </w:numPr>
        <w:ind w:left="720" w:hanging="731"/>
        <w:jc w:val="left"/>
      </w:pPr>
      <w:r>
        <w:tab/>
        <w:t>(a)</w:t>
      </w:r>
      <w:r>
        <w:tab/>
        <w:t>transparent and justified methodological choices</w:t>
      </w:r>
    </w:p>
    <w:p w14:paraId="74F6C856" w14:textId="394A2503" w:rsidR="00315508" w:rsidRDefault="00315508" w:rsidP="006C461F">
      <w:pPr>
        <w:pStyle w:val="Level2"/>
        <w:numPr>
          <w:ilvl w:val="0"/>
          <w:numId w:val="0"/>
        </w:numPr>
        <w:ind w:left="720" w:hanging="731"/>
        <w:jc w:val="left"/>
      </w:pPr>
      <w:r>
        <w:tab/>
        <w:t>(b)</w:t>
      </w:r>
      <w:r>
        <w:tab/>
      </w:r>
      <w:r w:rsidR="008E4E9B">
        <w:t>appropriate sampling</w:t>
      </w:r>
      <w:r w:rsidR="004172C7">
        <w:t xml:space="preserve"> and recruitment</w:t>
      </w:r>
    </w:p>
    <w:p w14:paraId="3C567F50" w14:textId="592CF549" w:rsidR="004172C7" w:rsidRDefault="004172C7" w:rsidP="006C461F">
      <w:pPr>
        <w:pStyle w:val="Level2"/>
        <w:numPr>
          <w:ilvl w:val="0"/>
          <w:numId w:val="0"/>
        </w:numPr>
        <w:ind w:left="720" w:hanging="731"/>
        <w:jc w:val="left"/>
      </w:pPr>
      <w:r>
        <w:tab/>
        <w:t>(c)</w:t>
      </w:r>
      <w:r>
        <w:tab/>
        <w:t xml:space="preserve">use of appropriate </w:t>
      </w:r>
      <w:r w:rsidR="009B36C0">
        <w:t>analytical techniques</w:t>
      </w:r>
    </w:p>
    <w:p w14:paraId="44F04F34" w14:textId="4325E179" w:rsidR="008362D8" w:rsidRDefault="008362D8" w:rsidP="006C461F">
      <w:pPr>
        <w:pStyle w:val="Level2"/>
        <w:numPr>
          <w:ilvl w:val="0"/>
          <w:numId w:val="0"/>
        </w:numPr>
        <w:ind w:left="720" w:hanging="731"/>
        <w:jc w:val="left"/>
      </w:pPr>
      <w:r>
        <w:tab/>
        <w:t>(d)</w:t>
      </w:r>
      <w:r>
        <w:tab/>
        <w:t>triangulation of data sources where feasible</w:t>
      </w:r>
    </w:p>
    <w:p w14:paraId="3488AFB2" w14:textId="77777777" w:rsidR="002A6391" w:rsidRDefault="008362D8" w:rsidP="006C461F">
      <w:pPr>
        <w:pStyle w:val="Level2"/>
        <w:numPr>
          <w:ilvl w:val="0"/>
          <w:numId w:val="0"/>
        </w:numPr>
        <w:ind w:left="720" w:hanging="731"/>
        <w:jc w:val="left"/>
      </w:pPr>
      <w:r>
        <w:tab/>
      </w:r>
      <w:r w:rsidR="00A042A8">
        <w:t>(e)</w:t>
      </w:r>
      <w:r w:rsidR="00A042A8">
        <w:tab/>
        <w:t>clear explanation of limitations and the strength of evidence and findings</w:t>
      </w:r>
    </w:p>
    <w:p w14:paraId="3406D93E" w14:textId="77777777" w:rsidR="009E36E3" w:rsidRDefault="002A6391" w:rsidP="006C461F">
      <w:pPr>
        <w:pStyle w:val="Level2"/>
        <w:numPr>
          <w:ilvl w:val="0"/>
          <w:numId w:val="0"/>
        </w:numPr>
        <w:ind w:left="720" w:hanging="731"/>
        <w:jc w:val="left"/>
      </w:pPr>
      <w:r>
        <w:tab/>
        <w:t>(f)</w:t>
      </w:r>
      <w:r>
        <w:tab/>
        <w:t>robust</w:t>
      </w:r>
      <w:r w:rsidR="00630DD1">
        <w:t xml:space="preserve"> internal quality assurance processes</w:t>
      </w:r>
    </w:p>
    <w:p w14:paraId="1DCE38AE" w14:textId="392E4AA0" w:rsidR="008362D8" w:rsidRDefault="009E36E3" w:rsidP="009E36E3">
      <w:pPr>
        <w:pStyle w:val="Level2"/>
        <w:numPr>
          <w:ilvl w:val="0"/>
          <w:numId w:val="0"/>
        </w:numPr>
        <w:ind w:left="284" w:hanging="295"/>
        <w:jc w:val="left"/>
        <w:rPr>
          <w:b/>
          <w:bCs/>
        </w:rPr>
      </w:pPr>
      <w:r w:rsidRPr="009E36E3">
        <w:rPr>
          <w:b/>
          <w:bCs/>
        </w:rPr>
        <w:t>7</w:t>
      </w:r>
      <w:r w:rsidRPr="009E36E3">
        <w:rPr>
          <w:b/>
          <w:bCs/>
        </w:rPr>
        <w:tab/>
        <w:t>WAYS OF WORKING AND COLLABORATION</w:t>
      </w:r>
      <w:r w:rsidR="008362D8" w:rsidRPr="009E36E3">
        <w:rPr>
          <w:b/>
          <w:bCs/>
        </w:rPr>
        <w:tab/>
      </w:r>
    </w:p>
    <w:p w14:paraId="05A53148" w14:textId="5AEC8ADA" w:rsidR="009E36E3" w:rsidRDefault="00F867E0" w:rsidP="009E36E3">
      <w:pPr>
        <w:pStyle w:val="Level2"/>
        <w:numPr>
          <w:ilvl w:val="0"/>
          <w:numId w:val="0"/>
        </w:numPr>
        <w:ind w:left="284" w:hanging="295"/>
        <w:jc w:val="left"/>
      </w:pPr>
      <w:r w:rsidRPr="00F867E0">
        <w:t>7.1</w:t>
      </w:r>
      <w:r w:rsidRPr="00F867E0">
        <w:tab/>
      </w:r>
      <w:r w:rsidRPr="00F867E0">
        <w:tab/>
      </w:r>
      <w:r>
        <w:t>Suppliers must</w:t>
      </w:r>
      <w:r w:rsidR="003F3870">
        <w:t>:</w:t>
      </w:r>
    </w:p>
    <w:p w14:paraId="5FF0B844" w14:textId="61B81590" w:rsidR="003F3870" w:rsidRDefault="003F3870" w:rsidP="003F3870">
      <w:pPr>
        <w:pStyle w:val="Level2"/>
        <w:numPr>
          <w:ilvl w:val="0"/>
          <w:numId w:val="0"/>
        </w:numPr>
        <w:ind w:left="1440" w:hanging="720"/>
      </w:pPr>
      <w:r>
        <w:t>(a)</w:t>
      </w:r>
      <w:r>
        <w:tab/>
      </w:r>
      <w:r w:rsidR="001E7D6C">
        <w:t>w</w:t>
      </w:r>
      <w:r>
        <w:t xml:space="preserve">ork in a collaborative and constructive manner with the </w:t>
      </w:r>
      <w:r w:rsidR="001E7D6C">
        <w:t>Trust</w:t>
      </w:r>
      <w:r>
        <w:t xml:space="preserve">, </w:t>
      </w:r>
      <w:r w:rsidR="00904CEC">
        <w:t>grant partners</w:t>
      </w:r>
      <w:r>
        <w:t>, other suppliers and stakeholders</w:t>
      </w:r>
    </w:p>
    <w:p w14:paraId="30DA0190" w14:textId="3E18A8A7" w:rsidR="003F3870" w:rsidRDefault="003F3870" w:rsidP="001E7D6C">
      <w:pPr>
        <w:pStyle w:val="Level2"/>
        <w:numPr>
          <w:ilvl w:val="0"/>
          <w:numId w:val="0"/>
        </w:numPr>
        <w:ind w:left="1440" w:hanging="720"/>
      </w:pPr>
      <w:r>
        <w:t xml:space="preserve">(b) </w:t>
      </w:r>
      <w:r w:rsidR="001E7D6C">
        <w:tab/>
      </w:r>
      <w:r w:rsidR="00904CEC">
        <w:t>r</w:t>
      </w:r>
      <w:r>
        <w:t>espect and work with the culture, values and lived experience of the armed forces community</w:t>
      </w:r>
    </w:p>
    <w:p w14:paraId="367ACAA1" w14:textId="6427B92A" w:rsidR="003F3870" w:rsidRDefault="001E7D6C" w:rsidP="001E7D6C">
      <w:pPr>
        <w:pStyle w:val="Level2"/>
        <w:numPr>
          <w:ilvl w:val="0"/>
          <w:numId w:val="0"/>
        </w:numPr>
        <w:ind w:left="1440" w:hanging="720"/>
      </w:pPr>
      <w:r>
        <w:t>(</w:t>
      </w:r>
      <w:r w:rsidR="003F3870">
        <w:t xml:space="preserve">c) </w:t>
      </w:r>
      <w:r>
        <w:tab/>
      </w:r>
      <w:r w:rsidR="00904CEC">
        <w:t>b</w:t>
      </w:r>
      <w:r w:rsidR="003F3870">
        <w:t>e prepared to co-design elements of projects with members of the armed forces community, where appropriate and proportionate.</w:t>
      </w:r>
    </w:p>
    <w:p w14:paraId="39098945" w14:textId="5B6CF9A2" w:rsidR="003F3870" w:rsidRDefault="001E7D6C" w:rsidP="001E7D6C">
      <w:pPr>
        <w:pStyle w:val="Level2"/>
        <w:numPr>
          <w:ilvl w:val="0"/>
          <w:numId w:val="0"/>
        </w:numPr>
        <w:ind w:left="1440" w:hanging="720"/>
        <w:jc w:val="left"/>
      </w:pPr>
      <w:r>
        <w:lastRenderedPageBreak/>
        <w:t>(</w:t>
      </w:r>
      <w:r w:rsidR="003F3870">
        <w:t xml:space="preserve">d) </w:t>
      </w:r>
      <w:r>
        <w:tab/>
      </w:r>
      <w:r w:rsidR="00547EB6">
        <w:t>s</w:t>
      </w:r>
      <w:r w:rsidR="003F3870">
        <w:t>upport learning and knowledge exchange</w:t>
      </w:r>
      <w:r w:rsidR="00547EB6">
        <w:t xml:space="preserve"> where appropriate</w:t>
      </w:r>
      <w:r w:rsidR="003F3870">
        <w:t xml:space="preserve">, </w:t>
      </w:r>
      <w:r w:rsidR="000247CD">
        <w:t xml:space="preserve">as well as producing </w:t>
      </w:r>
      <w:r w:rsidR="003F3870">
        <w:t>reports</w:t>
      </w:r>
    </w:p>
    <w:p w14:paraId="57124CEB" w14:textId="0063CE0D" w:rsidR="00287766" w:rsidRDefault="00537A7D" w:rsidP="00537A7D">
      <w:pPr>
        <w:pStyle w:val="Level2"/>
        <w:numPr>
          <w:ilvl w:val="0"/>
          <w:numId w:val="0"/>
        </w:numPr>
        <w:ind w:left="284" w:hanging="284"/>
        <w:jc w:val="left"/>
        <w:rPr>
          <w:b/>
          <w:bCs/>
        </w:rPr>
      </w:pPr>
      <w:r w:rsidRPr="00537A7D">
        <w:rPr>
          <w:b/>
          <w:bCs/>
        </w:rPr>
        <w:t>8</w:t>
      </w:r>
      <w:r w:rsidRPr="00537A7D">
        <w:rPr>
          <w:b/>
          <w:bCs/>
        </w:rPr>
        <w:tab/>
        <w:t>ETHICS, SAFEGUARDING AND INCLUSION</w:t>
      </w:r>
    </w:p>
    <w:p w14:paraId="0ADB5C75" w14:textId="72CA73B1" w:rsidR="00C2306D" w:rsidRDefault="00C86065" w:rsidP="00C2306D">
      <w:pPr>
        <w:pStyle w:val="Level2"/>
        <w:numPr>
          <w:ilvl w:val="0"/>
          <w:numId w:val="0"/>
        </w:numPr>
        <w:ind w:left="720" w:hanging="720"/>
      </w:pPr>
      <w:r w:rsidRPr="00C86065">
        <w:t>8.1</w:t>
      </w:r>
      <w:r w:rsidRPr="00C86065">
        <w:tab/>
        <w:t>All research and evaluation activities under this Framework must be conducted in accordance with recognised ethical principles, including</w:t>
      </w:r>
      <w:r w:rsidR="006831FC">
        <w:t>:</w:t>
      </w:r>
    </w:p>
    <w:p w14:paraId="768FB1B8" w14:textId="77777777" w:rsidR="00C2306D" w:rsidRDefault="00C2306D" w:rsidP="00C2306D">
      <w:pPr>
        <w:pStyle w:val="Level2"/>
        <w:numPr>
          <w:ilvl w:val="0"/>
          <w:numId w:val="0"/>
        </w:numPr>
        <w:ind w:left="720"/>
      </w:pPr>
      <w:r>
        <w:t>(a)</w:t>
      </w:r>
      <w:r>
        <w:tab/>
        <w:t>r</w:t>
      </w:r>
      <w:r w:rsidR="00C86065" w:rsidRPr="00C86065">
        <w:t>espect for persons and communities</w:t>
      </w:r>
    </w:p>
    <w:p w14:paraId="0D49A0A9" w14:textId="77777777" w:rsidR="00C2306D" w:rsidRDefault="00C2306D" w:rsidP="00C2306D">
      <w:pPr>
        <w:pStyle w:val="Level2"/>
        <w:numPr>
          <w:ilvl w:val="0"/>
          <w:numId w:val="0"/>
        </w:numPr>
        <w:ind w:left="720"/>
      </w:pPr>
      <w:r>
        <w:t>(b)</w:t>
      </w:r>
      <w:r>
        <w:tab/>
        <w:t>v</w:t>
      </w:r>
      <w:r w:rsidR="00C86065" w:rsidRPr="00C86065">
        <w:t>oluntary and informed consent</w:t>
      </w:r>
    </w:p>
    <w:p w14:paraId="5692A3B9" w14:textId="77777777" w:rsidR="00C2306D" w:rsidRDefault="00C2306D" w:rsidP="00C2306D">
      <w:pPr>
        <w:pStyle w:val="Level2"/>
        <w:numPr>
          <w:ilvl w:val="0"/>
          <w:numId w:val="0"/>
        </w:numPr>
        <w:ind w:left="720"/>
      </w:pPr>
      <w:r>
        <w:t>(c)</w:t>
      </w:r>
      <w:r>
        <w:tab/>
        <w:t>c</w:t>
      </w:r>
      <w:r w:rsidR="00C86065" w:rsidRPr="00C86065">
        <w:t>onfidentiality and appropriate anonymity</w:t>
      </w:r>
    </w:p>
    <w:p w14:paraId="49EECA46" w14:textId="77777777" w:rsidR="00C2306D" w:rsidRDefault="00C2306D" w:rsidP="00C2306D">
      <w:pPr>
        <w:pStyle w:val="Level2"/>
        <w:numPr>
          <w:ilvl w:val="0"/>
          <w:numId w:val="0"/>
        </w:numPr>
        <w:ind w:left="720"/>
      </w:pPr>
      <w:r>
        <w:t>(d)</w:t>
      </w:r>
      <w:r>
        <w:tab/>
        <w:t>m</w:t>
      </w:r>
      <w:r w:rsidR="00C86065" w:rsidRPr="00C86065">
        <w:t>inimisation of harm and distress</w:t>
      </w:r>
    </w:p>
    <w:p w14:paraId="605BDD07" w14:textId="5A1EC934" w:rsidR="00C86065" w:rsidRDefault="00C2306D" w:rsidP="00C2306D">
      <w:pPr>
        <w:pStyle w:val="Level2"/>
        <w:numPr>
          <w:ilvl w:val="0"/>
          <w:numId w:val="0"/>
        </w:numPr>
        <w:ind w:left="720"/>
      </w:pPr>
      <w:r>
        <w:t>(c)</w:t>
      </w:r>
      <w:r>
        <w:tab/>
        <w:t>f</w:t>
      </w:r>
      <w:r w:rsidR="00C86065" w:rsidRPr="00C86065">
        <w:t>airness, equity and inclusion</w:t>
      </w:r>
    </w:p>
    <w:p w14:paraId="4076B0BE" w14:textId="40947744" w:rsidR="009C61BD" w:rsidRDefault="005D62D3" w:rsidP="005D62D3">
      <w:pPr>
        <w:pStyle w:val="Level2"/>
        <w:numPr>
          <w:ilvl w:val="0"/>
          <w:numId w:val="0"/>
        </w:numPr>
        <w:ind w:left="720" w:hanging="720"/>
      </w:pPr>
      <w:r>
        <w:t>8.2</w:t>
      </w:r>
      <w:r>
        <w:tab/>
      </w:r>
      <w:r w:rsidRPr="005D62D3">
        <w:t>Suppliers must have and apply appropriate safeguarding policies and procedures and must:</w:t>
      </w:r>
    </w:p>
    <w:p w14:paraId="554472DB" w14:textId="6913F2BF" w:rsidR="00735EEF" w:rsidRDefault="00385946" w:rsidP="00735EEF">
      <w:pPr>
        <w:pStyle w:val="Level2"/>
        <w:numPr>
          <w:ilvl w:val="0"/>
          <w:numId w:val="0"/>
        </w:numPr>
        <w:ind w:left="1440" w:hanging="720"/>
      </w:pPr>
      <w:r>
        <w:t>(a)</w:t>
      </w:r>
      <w:r>
        <w:tab/>
        <w:t>i</w:t>
      </w:r>
      <w:r w:rsidRPr="00385946">
        <w:t>dentify and manage potential risks to participants and staff, particularly in relation to trauma, mental health, domestic abuse, self-harm or other sensitive issues</w:t>
      </w:r>
    </w:p>
    <w:p w14:paraId="2C8AEF88" w14:textId="77777777" w:rsidR="00735EEF" w:rsidRDefault="00735EEF" w:rsidP="00735EEF">
      <w:pPr>
        <w:pStyle w:val="Level2"/>
        <w:numPr>
          <w:ilvl w:val="0"/>
          <w:numId w:val="0"/>
        </w:numPr>
        <w:ind w:left="1440" w:hanging="720"/>
      </w:pPr>
      <w:r>
        <w:t>(b)</w:t>
      </w:r>
      <w:r>
        <w:tab/>
        <w:t>t</w:t>
      </w:r>
      <w:r w:rsidR="00385946" w:rsidRPr="00385946">
        <w:t>rain staff and associates involved in fieldwork on relevant safeguarding processes</w:t>
      </w:r>
    </w:p>
    <w:p w14:paraId="2EBFAE94" w14:textId="77777777" w:rsidR="00735EEF" w:rsidRDefault="00735EEF" w:rsidP="00735EEF">
      <w:pPr>
        <w:pStyle w:val="Level2"/>
        <w:numPr>
          <w:ilvl w:val="0"/>
          <w:numId w:val="0"/>
        </w:numPr>
        <w:ind w:left="1440" w:hanging="720"/>
      </w:pPr>
      <w:r>
        <w:t>(c)</w:t>
      </w:r>
      <w:r>
        <w:tab/>
        <w:t>p</w:t>
      </w:r>
      <w:r w:rsidR="00385946" w:rsidRPr="00385946">
        <w:t>rovide clear procedures for responding to distress, disclosure of risk, or complaints</w:t>
      </w:r>
    </w:p>
    <w:p w14:paraId="3ED734D0" w14:textId="540CD1D7" w:rsidR="00385946" w:rsidRDefault="00735EEF" w:rsidP="00735EEF">
      <w:pPr>
        <w:pStyle w:val="Level2"/>
        <w:numPr>
          <w:ilvl w:val="0"/>
          <w:numId w:val="0"/>
        </w:numPr>
        <w:ind w:left="1440" w:hanging="720"/>
      </w:pPr>
      <w:r>
        <w:t>(d)</w:t>
      </w:r>
      <w:r>
        <w:tab/>
      </w:r>
      <w:r w:rsidR="007D6331">
        <w:t>w</w:t>
      </w:r>
      <w:r w:rsidR="00385946" w:rsidRPr="00385946">
        <w:t>here appropriate, signpost participants to relevant support services</w:t>
      </w:r>
    </w:p>
    <w:p w14:paraId="49F3ED5B" w14:textId="77777777" w:rsidR="000D4028" w:rsidRDefault="000D4028" w:rsidP="000D4028">
      <w:pPr>
        <w:pStyle w:val="Level2"/>
        <w:numPr>
          <w:ilvl w:val="0"/>
          <w:numId w:val="0"/>
        </w:numPr>
        <w:ind w:left="720" w:hanging="720"/>
      </w:pPr>
      <w:r>
        <w:t>8.3</w:t>
      </w:r>
      <w:r>
        <w:tab/>
      </w:r>
      <w:r w:rsidRPr="000D4028">
        <w:t>Suppliers must ensure their approaches are inclusive and accessible, including reasonable adjustments to enable participation by:</w:t>
      </w:r>
    </w:p>
    <w:p w14:paraId="550EB93D" w14:textId="77777777" w:rsidR="000D4028" w:rsidRDefault="000D4028" w:rsidP="000D4028">
      <w:pPr>
        <w:pStyle w:val="Level2"/>
        <w:numPr>
          <w:ilvl w:val="0"/>
          <w:numId w:val="0"/>
        </w:numPr>
        <w:ind w:left="720"/>
      </w:pPr>
      <w:r>
        <w:t>(a)</w:t>
      </w:r>
      <w:r>
        <w:tab/>
        <w:t>p</w:t>
      </w:r>
      <w:r w:rsidRPr="000D4028">
        <w:t>eople with disabilities</w:t>
      </w:r>
    </w:p>
    <w:p w14:paraId="3A6F82A9" w14:textId="77777777" w:rsidR="000D4028" w:rsidRDefault="000D4028" w:rsidP="000D4028">
      <w:pPr>
        <w:pStyle w:val="Level2"/>
        <w:numPr>
          <w:ilvl w:val="0"/>
          <w:numId w:val="0"/>
        </w:numPr>
        <w:ind w:left="720"/>
      </w:pPr>
      <w:r>
        <w:t>(b)</w:t>
      </w:r>
      <w:r>
        <w:tab/>
        <w:t>t</w:t>
      </w:r>
      <w:r w:rsidRPr="000D4028">
        <w:t>hose with caring responsibilities</w:t>
      </w:r>
    </w:p>
    <w:p w14:paraId="726E3F1C" w14:textId="77777777" w:rsidR="00485190" w:rsidRDefault="000D4028" w:rsidP="00485190">
      <w:pPr>
        <w:pStyle w:val="Level2"/>
        <w:numPr>
          <w:ilvl w:val="0"/>
          <w:numId w:val="0"/>
        </w:numPr>
        <w:ind w:left="720"/>
      </w:pPr>
      <w:r>
        <w:t>(c)</w:t>
      </w:r>
      <w:r>
        <w:tab/>
        <w:t>i</w:t>
      </w:r>
      <w:r w:rsidRPr="000D4028">
        <w:t>ndividuals with communication or literacy needs</w:t>
      </w:r>
    </w:p>
    <w:p w14:paraId="516E5B2D" w14:textId="7444B049" w:rsidR="000D4028" w:rsidRDefault="00485190" w:rsidP="00485190">
      <w:pPr>
        <w:pStyle w:val="Level2"/>
        <w:numPr>
          <w:ilvl w:val="0"/>
          <w:numId w:val="0"/>
        </w:numPr>
        <w:ind w:left="720"/>
      </w:pPr>
      <w:r>
        <w:t>(d)</w:t>
      </w:r>
      <w:r>
        <w:tab/>
        <w:t>u</w:t>
      </w:r>
      <w:r w:rsidR="000D4028" w:rsidRPr="000D4028">
        <w:t>nder-represented or marginalised groups within the armed forces community</w:t>
      </w:r>
    </w:p>
    <w:p w14:paraId="639203D0" w14:textId="3956DEB3" w:rsidR="006D2482" w:rsidRDefault="006D2482" w:rsidP="006D2482">
      <w:pPr>
        <w:pStyle w:val="Level2"/>
        <w:numPr>
          <w:ilvl w:val="0"/>
          <w:numId w:val="0"/>
        </w:numPr>
        <w:ind w:left="720" w:hanging="720"/>
      </w:pPr>
      <w:r>
        <w:t>8.4</w:t>
      </w:r>
      <w:r>
        <w:tab/>
      </w:r>
      <w:r w:rsidRPr="006D2482">
        <w:t xml:space="preserve">Where required, </w:t>
      </w:r>
      <w:r w:rsidR="006A59A6">
        <w:t xml:space="preserve">suppliers must </w:t>
      </w:r>
      <w:r w:rsidRPr="006D2482">
        <w:t xml:space="preserve">secure appropriate ethical review and approval </w:t>
      </w:r>
      <w:r w:rsidR="006F4DF9">
        <w:t xml:space="preserve">for their </w:t>
      </w:r>
      <w:r w:rsidR="00626686">
        <w:t>Call-Off</w:t>
      </w:r>
      <w:r w:rsidR="006F4DF9">
        <w:t xml:space="preserve"> project</w:t>
      </w:r>
      <w:r w:rsidR="00235D71">
        <w:t xml:space="preserve"> </w:t>
      </w:r>
      <w:r w:rsidRPr="006D2482">
        <w:t>(e.g. through an institutional ethics committee or equivalent</w:t>
      </w:r>
      <w:r w:rsidR="006113CF">
        <w:t>, or MODREC</w:t>
      </w:r>
      <w:r w:rsidR="0096761A">
        <w:t xml:space="preserve"> if relevant</w:t>
      </w:r>
      <w:r w:rsidRPr="006D2482">
        <w:t xml:space="preserve">), and evidence of such approval may be requested by the </w:t>
      </w:r>
      <w:r w:rsidR="006F4DF9">
        <w:t>Trust</w:t>
      </w:r>
      <w:r w:rsidRPr="006D2482">
        <w:t>.</w:t>
      </w:r>
    </w:p>
    <w:p w14:paraId="630C1960" w14:textId="38DDA1D8" w:rsidR="001F5B37" w:rsidRDefault="001F5B37" w:rsidP="006D2482">
      <w:pPr>
        <w:pStyle w:val="Level2"/>
        <w:numPr>
          <w:ilvl w:val="0"/>
          <w:numId w:val="0"/>
        </w:numPr>
        <w:ind w:left="720" w:hanging="720"/>
      </w:pPr>
      <w:r>
        <w:t>8.5</w:t>
      </w:r>
      <w:r>
        <w:tab/>
      </w:r>
      <w:r w:rsidR="00E358C4">
        <w:t>Suppliers must</w:t>
      </w:r>
      <w:r w:rsidR="007D4EB9">
        <w:t xml:space="preserve"> a</w:t>
      </w:r>
      <w:r w:rsidR="007D4EB9" w:rsidRPr="007D4EB9">
        <w:t>lign with the Trust’s Code of Ethical Conduct (</w:t>
      </w:r>
      <w:hyperlink r:id="rId12" w:history="1">
        <w:r w:rsidR="00356D86" w:rsidRPr="00AA4864">
          <w:rPr>
            <w:rStyle w:val="Hyperlink"/>
          </w:rPr>
          <w:t>https://covenantfund.org.uk/code-of-ethical-conduct/</w:t>
        </w:r>
      </w:hyperlink>
      <w:r w:rsidR="007D4EB9" w:rsidRPr="007D4EB9">
        <w:t>)</w:t>
      </w:r>
      <w:r w:rsidR="00356D86">
        <w:t>, s</w:t>
      </w:r>
      <w:r w:rsidR="00356D86" w:rsidRPr="00356D86">
        <w:t>hare the values of the Trust and act in its best interests, and the interest of the Trust’s beneficiaries</w:t>
      </w:r>
      <w:r w:rsidR="000865AF">
        <w:t>.</w:t>
      </w:r>
    </w:p>
    <w:p w14:paraId="2527A88C" w14:textId="00223B7D" w:rsidR="002F1226" w:rsidRDefault="00973081" w:rsidP="00045FAE">
      <w:pPr>
        <w:pStyle w:val="Level2"/>
        <w:numPr>
          <w:ilvl w:val="0"/>
          <w:numId w:val="0"/>
        </w:numPr>
        <w:ind w:left="284" w:hanging="284"/>
        <w:rPr>
          <w:b/>
          <w:bCs/>
        </w:rPr>
      </w:pPr>
      <w:r w:rsidRPr="00045FAE">
        <w:rPr>
          <w:b/>
          <w:bCs/>
        </w:rPr>
        <w:t>9</w:t>
      </w:r>
      <w:r w:rsidRPr="00045FAE">
        <w:rPr>
          <w:b/>
          <w:bCs/>
        </w:rPr>
        <w:tab/>
        <w:t>DATA PROTECTION, CONFIDENTIALITY AND INFORMATION SECURITY</w:t>
      </w:r>
    </w:p>
    <w:p w14:paraId="160911EF" w14:textId="6D5EEDF9" w:rsidR="006815ED" w:rsidRPr="006815ED" w:rsidRDefault="00045FAE" w:rsidP="006815ED">
      <w:pPr>
        <w:pStyle w:val="Level2"/>
        <w:numPr>
          <w:ilvl w:val="0"/>
          <w:numId w:val="0"/>
        </w:numPr>
        <w:ind w:left="720" w:hanging="720"/>
      </w:pPr>
      <w:r w:rsidRPr="00045FAE">
        <w:t>9.1</w:t>
      </w:r>
      <w:r w:rsidR="006815ED">
        <w:tab/>
      </w:r>
      <w:r w:rsidR="006815ED" w:rsidRPr="006815ED">
        <w:t xml:space="preserve">Suppliers must comply with all applicable data protection legislation and the </w:t>
      </w:r>
      <w:r w:rsidR="006815ED">
        <w:t>Trust</w:t>
      </w:r>
      <w:r w:rsidR="006815ED" w:rsidRPr="006815ED">
        <w:t>’s data protection requirements, including where personal data, special category data or service-related information are processed.</w:t>
      </w:r>
    </w:p>
    <w:p w14:paraId="61FD3FCE" w14:textId="77777777" w:rsidR="0030743A" w:rsidRDefault="0030743A" w:rsidP="0030743A">
      <w:pPr>
        <w:pStyle w:val="Level2"/>
        <w:numPr>
          <w:ilvl w:val="0"/>
          <w:numId w:val="0"/>
        </w:numPr>
      </w:pPr>
      <w:r>
        <w:t>9</w:t>
      </w:r>
      <w:r w:rsidR="006815ED" w:rsidRPr="006815ED">
        <w:t xml:space="preserve">.2 </w:t>
      </w:r>
      <w:r>
        <w:tab/>
      </w:r>
      <w:r w:rsidR="006815ED" w:rsidRPr="006815ED">
        <w:t>Requirements include (but are not limited to):</w:t>
      </w:r>
    </w:p>
    <w:p w14:paraId="15232285" w14:textId="0982FB41" w:rsidR="00D30F3E" w:rsidRDefault="00D30F3E" w:rsidP="0030743A">
      <w:pPr>
        <w:pStyle w:val="Level2"/>
        <w:numPr>
          <w:ilvl w:val="0"/>
          <w:numId w:val="0"/>
        </w:numPr>
        <w:ind w:left="720"/>
      </w:pPr>
      <w:r>
        <w:t>(</w:t>
      </w:r>
      <w:r w:rsidR="006815ED" w:rsidRPr="006815ED">
        <w:t xml:space="preserve">a) </w:t>
      </w:r>
      <w:r w:rsidR="0030743A">
        <w:tab/>
      </w:r>
      <w:r w:rsidR="0026146C">
        <w:t>l</w:t>
      </w:r>
      <w:r w:rsidR="006815ED" w:rsidRPr="006815ED">
        <w:t>awful basis for processing, clearly communicated to participants</w:t>
      </w:r>
    </w:p>
    <w:p w14:paraId="4FC434AB" w14:textId="77777777" w:rsidR="00D30F3E" w:rsidRDefault="00D30F3E" w:rsidP="0030743A">
      <w:pPr>
        <w:pStyle w:val="Level2"/>
        <w:numPr>
          <w:ilvl w:val="0"/>
          <w:numId w:val="0"/>
        </w:numPr>
        <w:ind w:left="720"/>
      </w:pPr>
      <w:r>
        <w:t>(b)</w:t>
      </w:r>
      <w:r>
        <w:tab/>
      </w:r>
      <w:r w:rsidR="0026146C">
        <w:t>d</w:t>
      </w:r>
      <w:r w:rsidR="006815ED" w:rsidRPr="006815ED">
        <w:t>ata minimisation, secure storage and controlled acces</w:t>
      </w:r>
      <w:r>
        <w:t>s</w:t>
      </w:r>
    </w:p>
    <w:p w14:paraId="07F4EBF6" w14:textId="77777777" w:rsidR="00C05987" w:rsidRDefault="00D30F3E" w:rsidP="0030743A">
      <w:pPr>
        <w:pStyle w:val="Level2"/>
        <w:numPr>
          <w:ilvl w:val="0"/>
          <w:numId w:val="0"/>
        </w:numPr>
        <w:ind w:left="720"/>
      </w:pPr>
      <w:r>
        <w:lastRenderedPageBreak/>
        <w:t>(c)</w:t>
      </w:r>
      <w:r>
        <w:tab/>
      </w:r>
      <w:r w:rsidR="0026146C">
        <w:t>a</w:t>
      </w:r>
      <w:r w:rsidR="006815ED" w:rsidRPr="006815ED">
        <w:t>nonymisation or pseudonymisation where appropriate</w:t>
      </w:r>
    </w:p>
    <w:p w14:paraId="1CFF20DE" w14:textId="77777777" w:rsidR="00C05987" w:rsidRDefault="00C05987" w:rsidP="0030743A">
      <w:pPr>
        <w:pStyle w:val="Level2"/>
        <w:numPr>
          <w:ilvl w:val="0"/>
          <w:numId w:val="0"/>
        </w:numPr>
        <w:ind w:left="720"/>
      </w:pPr>
      <w:r>
        <w:t>(d)</w:t>
      </w:r>
      <w:r>
        <w:tab/>
      </w:r>
      <w:r w:rsidR="0026146C">
        <w:t>s</w:t>
      </w:r>
      <w:r w:rsidR="006815ED" w:rsidRPr="006815ED">
        <w:t xml:space="preserve">ecure transfer of data to and from the </w:t>
      </w:r>
      <w:r>
        <w:t>Trust</w:t>
      </w:r>
    </w:p>
    <w:p w14:paraId="6045E2C0" w14:textId="6179C9E1" w:rsidR="006815ED" w:rsidRPr="006815ED" w:rsidRDefault="00C05987" w:rsidP="0030743A">
      <w:pPr>
        <w:pStyle w:val="Level2"/>
        <w:numPr>
          <w:ilvl w:val="0"/>
          <w:numId w:val="0"/>
        </w:numPr>
        <w:ind w:left="720"/>
      </w:pPr>
      <w:r>
        <w:t>(e)</w:t>
      </w:r>
      <w:r>
        <w:tab/>
      </w:r>
      <w:r w:rsidR="0026146C">
        <w:t>c</w:t>
      </w:r>
      <w:r w:rsidR="006815ED" w:rsidRPr="006815ED">
        <w:t>lear retention and deletion arrangements for data at project end</w:t>
      </w:r>
    </w:p>
    <w:p w14:paraId="7418CD5E" w14:textId="2470A960" w:rsidR="006815ED" w:rsidRPr="006815ED" w:rsidRDefault="00865E34" w:rsidP="00C05987">
      <w:pPr>
        <w:pStyle w:val="Level2"/>
        <w:numPr>
          <w:ilvl w:val="0"/>
          <w:numId w:val="0"/>
        </w:numPr>
        <w:ind w:left="720" w:hanging="720"/>
      </w:pPr>
      <w:r>
        <w:t>9.3</w:t>
      </w:r>
      <w:r>
        <w:tab/>
      </w:r>
      <w:r w:rsidR="006815ED" w:rsidRPr="006815ED">
        <w:t xml:space="preserve">Suppliers must treat all information obtained </w:t>
      </w:r>
      <w:r w:rsidR="009E2A2A" w:rsidRPr="006815ED">
        <w:t>during</w:t>
      </w:r>
      <w:r w:rsidR="006815ED" w:rsidRPr="006815ED">
        <w:t xml:space="preserve"> </w:t>
      </w:r>
      <w:r w:rsidR="00626686">
        <w:t>Call-Off</w:t>
      </w:r>
      <w:r w:rsidR="006815ED" w:rsidRPr="006815ED">
        <w:t xml:space="preserve"> </w:t>
      </w:r>
      <w:r w:rsidR="009E2A2A" w:rsidRPr="009E2A2A">
        <w:t>c</w:t>
      </w:r>
      <w:r w:rsidR="006815ED" w:rsidRPr="006815ED">
        <w:t>ontracts as confidential, unless otherwise agreed.</w:t>
      </w:r>
    </w:p>
    <w:p w14:paraId="768B8562" w14:textId="5C5A5BBE" w:rsidR="006815ED" w:rsidRDefault="00865E34" w:rsidP="00865E34">
      <w:pPr>
        <w:pStyle w:val="Level2"/>
        <w:numPr>
          <w:ilvl w:val="0"/>
          <w:numId w:val="0"/>
        </w:numPr>
        <w:ind w:left="720" w:hanging="720"/>
      </w:pPr>
      <w:r>
        <w:t>9.4</w:t>
      </w:r>
      <w:r>
        <w:tab/>
      </w:r>
      <w:r w:rsidR="006815ED" w:rsidRPr="006815ED">
        <w:t xml:space="preserve">Where projects involve sensitive or potentially security-related data, additional information security and/or vetting requirements may be specified in the </w:t>
      </w:r>
      <w:r w:rsidR="00626686">
        <w:t>Call-Off</w:t>
      </w:r>
      <w:r w:rsidR="006815ED" w:rsidRPr="006815ED">
        <w:t xml:space="preserve"> documentation. Suppliers must comply with any such requirements.</w:t>
      </w:r>
    </w:p>
    <w:p w14:paraId="6BDD54EC" w14:textId="2AA95B98" w:rsidR="00A7718F" w:rsidRDefault="004F0A9A" w:rsidP="004F0A9A">
      <w:pPr>
        <w:pStyle w:val="Level2"/>
        <w:numPr>
          <w:ilvl w:val="0"/>
          <w:numId w:val="0"/>
        </w:numPr>
        <w:ind w:left="284" w:hanging="284"/>
        <w:rPr>
          <w:b/>
          <w:bCs/>
        </w:rPr>
      </w:pPr>
      <w:r w:rsidRPr="004F0A9A">
        <w:rPr>
          <w:b/>
          <w:bCs/>
        </w:rPr>
        <w:t>10</w:t>
      </w:r>
      <w:r w:rsidRPr="004F0A9A">
        <w:rPr>
          <w:b/>
          <w:bCs/>
        </w:rPr>
        <w:tab/>
        <w:t>INTELLECTUAL PROPERTY</w:t>
      </w:r>
    </w:p>
    <w:p w14:paraId="7EFAFA04" w14:textId="52323300" w:rsidR="00190ED0" w:rsidRDefault="00190ED0" w:rsidP="00190ED0">
      <w:pPr>
        <w:pStyle w:val="Level2"/>
        <w:numPr>
          <w:ilvl w:val="0"/>
          <w:numId w:val="0"/>
        </w:numPr>
        <w:ind w:left="720" w:hanging="720"/>
      </w:pPr>
      <w:r w:rsidRPr="00190ED0">
        <w:t>10.1</w:t>
      </w:r>
      <w:r w:rsidRPr="00190ED0">
        <w:tab/>
        <w:t xml:space="preserve">Unless otherwise specified in a </w:t>
      </w:r>
      <w:r w:rsidR="00626686">
        <w:t>Call-Off</w:t>
      </w:r>
      <w:r w:rsidRPr="00190ED0">
        <w:t xml:space="preserve"> </w:t>
      </w:r>
      <w:r>
        <w:t>c</w:t>
      </w:r>
      <w:r w:rsidRPr="00190ED0">
        <w:t xml:space="preserve">ontract, the Intellectual Property Rights (IPR) in all reports, data and materials produced under a </w:t>
      </w:r>
      <w:r w:rsidR="00626686">
        <w:t>Call-Off</w:t>
      </w:r>
      <w:r w:rsidRPr="00190ED0">
        <w:t xml:space="preserve"> shall vest in the </w:t>
      </w:r>
      <w:r w:rsidR="00124CD6">
        <w:t>Trust</w:t>
      </w:r>
      <w:r w:rsidRPr="00190ED0">
        <w:t xml:space="preserve"> (or as set out in the Framework Agreement).</w:t>
      </w:r>
    </w:p>
    <w:p w14:paraId="2B905F0F" w14:textId="77777777" w:rsidR="00C1592C" w:rsidRDefault="00D54702" w:rsidP="00C1592C">
      <w:pPr>
        <w:pStyle w:val="Level2"/>
        <w:numPr>
          <w:ilvl w:val="0"/>
          <w:numId w:val="0"/>
        </w:numPr>
        <w:ind w:left="720" w:hanging="720"/>
      </w:pPr>
      <w:r>
        <w:t>10.2</w:t>
      </w:r>
      <w:r>
        <w:tab/>
      </w:r>
      <w:r w:rsidRPr="00D54702">
        <w:t xml:space="preserve">Suppliers may retain a licence to use anonymised data and materials for academic or professional </w:t>
      </w:r>
      <w:r w:rsidRPr="00C1592C">
        <w:t>purposes only where:</w:t>
      </w:r>
    </w:p>
    <w:p w14:paraId="050940AA" w14:textId="7C6CB1CB" w:rsidR="00C1592C" w:rsidRDefault="00C1592C" w:rsidP="00C1592C">
      <w:pPr>
        <w:pStyle w:val="Level2"/>
        <w:numPr>
          <w:ilvl w:val="0"/>
          <w:numId w:val="0"/>
        </w:numPr>
        <w:ind w:left="720"/>
      </w:pPr>
      <w:r>
        <w:t>(a)</w:t>
      </w:r>
      <w:r>
        <w:tab/>
        <w:t>e</w:t>
      </w:r>
      <w:r w:rsidR="00D54702" w:rsidRPr="00D54702">
        <w:t xml:space="preserve">xplicitly permitted in the </w:t>
      </w:r>
      <w:r w:rsidR="00626686">
        <w:t>Call-Off</w:t>
      </w:r>
      <w:r w:rsidR="00D54702" w:rsidRPr="00D54702">
        <w:t xml:space="preserve"> </w:t>
      </w:r>
      <w:r>
        <w:t>c</w:t>
      </w:r>
      <w:r w:rsidR="00D54702" w:rsidRPr="00D54702">
        <w:t>ontract</w:t>
      </w:r>
    </w:p>
    <w:p w14:paraId="0824921F" w14:textId="77777777" w:rsidR="00C1592C" w:rsidRDefault="00C1592C" w:rsidP="00C1592C">
      <w:pPr>
        <w:pStyle w:val="Level2"/>
        <w:numPr>
          <w:ilvl w:val="0"/>
          <w:numId w:val="0"/>
        </w:numPr>
        <w:ind w:left="720"/>
      </w:pPr>
      <w:r>
        <w:t>(b)</w:t>
      </w:r>
      <w:r>
        <w:tab/>
        <w:t>p</w:t>
      </w:r>
      <w:r w:rsidR="00D54702" w:rsidRPr="00D54702">
        <w:t>articipant confidentiality and data protection are fully protected</w:t>
      </w:r>
    </w:p>
    <w:p w14:paraId="48880869" w14:textId="4EEA7F32" w:rsidR="00D54702" w:rsidRDefault="00C1592C" w:rsidP="00723B4E">
      <w:pPr>
        <w:pStyle w:val="Level2"/>
        <w:numPr>
          <w:ilvl w:val="0"/>
          <w:numId w:val="0"/>
        </w:numPr>
        <w:ind w:left="1440" w:hanging="720"/>
      </w:pPr>
      <w:r>
        <w:t>(c)</w:t>
      </w:r>
      <w:r w:rsidR="00401AF3">
        <w:tab/>
        <w:t>s</w:t>
      </w:r>
      <w:r w:rsidR="00D54702" w:rsidRPr="00D54702">
        <w:t>uch use does not prejudice</w:t>
      </w:r>
      <w:r w:rsidR="00401AF3">
        <w:t xml:space="preserve"> or compromise</w:t>
      </w:r>
      <w:r w:rsidR="00D54702" w:rsidRPr="00D54702">
        <w:t xml:space="preserve"> the interests</w:t>
      </w:r>
      <w:r w:rsidR="00401AF3">
        <w:t xml:space="preserve"> and reputation</w:t>
      </w:r>
      <w:r w:rsidR="00D54702" w:rsidRPr="00D54702">
        <w:t xml:space="preserve"> of the</w:t>
      </w:r>
      <w:r w:rsidR="00401AF3">
        <w:t xml:space="preserve"> Trust</w:t>
      </w:r>
    </w:p>
    <w:p w14:paraId="1ABB3069" w14:textId="6F8BF831" w:rsidR="005436E3" w:rsidRPr="00F00113" w:rsidRDefault="005436E3" w:rsidP="00F00113">
      <w:pPr>
        <w:pStyle w:val="Level2"/>
        <w:numPr>
          <w:ilvl w:val="0"/>
          <w:numId w:val="0"/>
        </w:numPr>
        <w:ind w:left="284" w:hanging="295"/>
        <w:rPr>
          <w:b/>
          <w:bCs/>
        </w:rPr>
      </w:pPr>
      <w:r w:rsidRPr="00F00113">
        <w:rPr>
          <w:b/>
          <w:bCs/>
        </w:rPr>
        <w:t xml:space="preserve">11 </w:t>
      </w:r>
      <w:r w:rsidR="00F00113" w:rsidRPr="00F00113">
        <w:rPr>
          <w:b/>
          <w:bCs/>
        </w:rPr>
        <w:tab/>
        <w:t>GOVERNANCE, REPORTING AND COMMUNICATION</w:t>
      </w:r>
    </w:p>
    <w:p w14:paraId="65C86C8D" w14:textId="68D7AB4D" w:rsidR="005436E3" w:rsidRPr="005436E3" w:rsidRDefault="00F00113" w:rsidP="00F00113">
      <w:pPr>
        <w:pStyle w:val="Level2"/>
        <w:numPr>
          <w:ilvl w:val="0"/>
          <w:numId w:val="0"/>
        </w:numPr>
        <w:ind w:left="720" w:hanging="720"/>
      </w:pPr>
      <w:r>
        <w:t>11.1</w:t>
      </w:r>
      <w:r>
        <w:tab/>
      </w:r>
      <w:r w:rsidR="005436E3" w:rsidRPr="005436E3">
        <w:t xml:space="preserve">For each </w:t>
      </w:r>
      <w:r w:rsidR="00626686">
        <w:t>Call-Off</w:t>
      </w:r>
      <w:r w:rsidR="005436E3" w:rsidRPr="005436E3">
        <w:t xml:space="preserve"> </w:t>
      </w:r>
      <w:r w:rsidR="00DA4D96">
        <w:t>c</w:t>
      </w:r>
      <w:r w:rsidR="005436E3" w:rsidRPr="005436E3">
        <w:t xml:space="preserve">ontract, governance arrangements shall be agreed and </w:t>
      </w:r>
      <w:r w:rsidR="00DA4D96">
        <w:t>will</w:t>
      </w:r>
      <w:r w:rsidR="005436E3" w:rsidRPr="005436E3">
        <w:t xml:space="preserve"> include:</w:t>
      </w:r>
    </w:p>
    <w:p w14:paraId="63C32556" w14:textId="7DEBD848" w:rsidR="00F359EE" w:rsidRDefault="003A6CF8" w:rsidP="003A6CF8">
      <w:pPr>
        <w:pStyle w:val="Level2"/>
        <w:numPr>
          <w:ilvl w:val="0"/>
          <w:numId w:val="0"/>
        </w:numPr>
        <w:ind w:left="720"/>
      </w:pPr>
      <w:r>
        <w:t>(a)</w:t>
      </w:r>
      <w:r>
        <w:tab/>
      </w:r>
      <w:r w:rsidR="00D25886">
        <w:t xml:space="preserve">a </w:t>
      </w:r>
      <w:r w:rsidR="005436E3" w:rsidRPr="005436E3">
        <w:t xml:space="preserve">named </w:t>
      </w:r>
      <w:r w:rsidRPr="003A6CF8">
        <w:t>contract manager</w:t>
      </w:r>
      <w:r w:rsidR="005436E3" w:rsidRPr="005436E3">
        <w:t xml:space="preserve"> from the </w:t>
      </w:r>
      <w:r w:rsidRPr="003A6CF8">
        <w:t>Trust</w:t>
      </w:r>
    </w:p>
    <w:p w14:paraId="092BBD32" w14:textId="77777777" w:rsidR="00AD0654" w:rsidRDefault="00F359EE" w:rsidP="00AD0654">
      <w:pPr>
        <w:pStyle w:val="Level2"/>
        <w:numPr>
          <w:ilvl w:val="0"/>
          <w:numId w:val="0"/>
        </w:numPr>
        <w:ind w:left="720"/>
      </w:pPr>
      <w:r>
        <w:t>(b)</w:t>
      </w:r>
      <w:r>
        <w:tab/>
      </w:r>
      <w:r w:rsidR="00D25886">
        <w:t xml:space="preserve">a named lead researcher </w:t>
      </w:r>
      <w:r w:rsidR="00023406">
        <w:t>and / or project manager from the supplier</w:t>
      </w:r>
    </w:p>
    <w:p w14:paraId="18C2FC6C" w14:textId="3F7E33A4" w:rsidR="005436E3" w:rsidRPr="005436E3" w:rsidRDefault="00AD0654" w:rsidP="006000F4">
      <w:pPr>
        <w:pStyle w:val="Level2"/>
        <w:numPr>
          <w:ilvl w:val="0"/>
          <w:numId w:val="0"/>
        </w:numPr>
        <w:ind w:left="1440" w:hanging="720"/>
      </w:pPr>
      <w:r>
        <w:t>(c)</w:t>
      </w:r>
      <w:r>
        <w:tab/>
        <w:t xml:space="preserve">a </w:t>
      </w:r>
      <w:r w:rsidR="005436E3" w:rsidRPr="005436E3">
        <w:t>project steering or advisory group, where appropriate</w:t>
      </w:r>
      <w:r w:rsidR="00A62B92">
        <w:t xml:space="preserve"> (which may include</w:t>
      </w:r>
      <w:r w:rsidR="00651A3F">
        <w:t xml:space="preserve"> </w:t>
      </w:r>
      <w:r w:rsidR="00F81960">
        <w:t>representatives from the MOD or the OVA</w:t>
      </w:r>
      <w:r w:rsidR="005D243E">
        <w:t>, or individuals nominated by suppliers</w:t>
      </w:r>
      <w:r w:rsidR="006F002C">
        <w:t>)</w:t>
      </w:r>
    </w:p>
    <w:p w14:paraId="0B5A7934" w14:textId="68D73748" w:rsidR="005436E3" w:rsidRPr="005436E3" w:rsidRDefault="006F002C" w:rsidP="006F002C">
      <w:pPr>
        <w:pStyle w:val="Level2"/>
        <w:numPr>
          <w:ilvl w:val="0"/>
          <w:numId w:val="0"/>
        </w:numPr>
        <w:ind w:left="720" w:hanging="720"/>
      </w:pPr>
      <w:r>
        <w:t>11.2</w:t>
      </w:r>
      <w:r>
        <w:tab/>
      </w:r>
      <w:r w:rsidR="005436E3" w:rsidRPr="005436E3">
        <w:t>Suppliers will be expected to:</w:t>
      </w:r>
    </w:p>
    <w:p w14:paraId="6A044FC9" w14:textId="5997A756" w:rsidR="004E7A2D" w:rsidRDefault="00235103" w:rsidP="004E7A2D">
      <w:pPr>
        <w:pStyle w:val="Level2"/>
        <w:numPr>
          <w:ilvl w:val="0"/>
          <w:numId w:val="0"/>
        </w:numPr>
        <w:ind w:left="1440" w:hanging="720"/>
      </w:pPr>
      <w:r>
        <w:t>(</w:t>
      </w:r>
      <w:r w:rsidR="005436E3" w:rsidRPr="005436E3">
        <w:t>a)</w:t>
      </w:r>
      <w:r w:rsidR="004E7A2D">
        <w:tab/>
      </w:r>
      <w:r>
        <w:t>a</w:t>
      </w:r>
      <w:r w:rsidR="005436E3" w:rsidRPr="005436E3">
        <w:t>ttend project inception meetings and regular progress meetings (frequency to be</w:t>
      </w:r>
      <w:r w:rsidR="004E7A2D">
        <w:t xml:space="preserve"> </w:t>
      </w:r>
      <w:r w:rsidR="005436E3" w:rsidRPr="005436E3">
        <w:t>agreed)</w:t>
      </w:r>
    </w:p>
    <w:p w14:paraId="49A6CD36" w14:textId="0812D01E" w:rsidR="00235103" w:rsidRDefault="00235103" w:rsidP="004E7A2D">
      <w:pPr>
        <w:pStyle w:val="Level2"/>
        <w:numPr>
          <w:ilvl w:val="0"/>
          <w:numId w:val="0"/>
        </w:numPr>
        <w:ind w:left="1440" w:hanging="720"/>
      </w:pPr>
      <w:r>
        <w:t>(b)</w:t>
      </w:r>
      <w:r>
        <w:tab/>
        <w:t>p</w:t>
      </w:r>
      <w:r w:rsidR="005436E3" w:rsidRPr="005436E3">
        <w:t>rovide progress updates (verbal or written) as agreed, including highlighting risks, issues and mitigation actions</w:t>
      </w:r>
      <w:r w:rsidR="00F1504E">
        <w:t>, as well as emerging findings or insights</w:t>
      </w:r>
    </w:p>
    <w:p w14:paraId="28E87BAF" w14:textId="791941D7" w:rsidR="005436E3" w:rsidRPr="005436E3" w:rsidRDefault="00235103" w:rsidP="004E7A2D">
      <w:pPr>
        <w:pStyle w:val="Level2"/>
        <w:numPr>
          <w:ilvl w:val="0"/>
          <w:numId w:val="0"/>
        </w:numPr>
        <w:ind w:left="1440" w:hanging="720"/>
      </w:pPr>
      <w:r>
        <w:t>(c)</w:t>
      </w:r>
      <w:r>
        <w:tab/>
        <w:t>m</w:t>
      </w:r>
      <w:r w:rsidR="005436E3" w:rsidRPr="005436E3">
        <w:t>aintain an up-to-date project plan and risk register, where proportionate</w:t>
      </w:r>
    </w:p>
    <w:p w14:paraId="79DDC076" w14:textId="683B8229" w:rsidR="005436E3" w:rsidRDefault="00E36003" w:rsidP="00E36003">
      <w:pPr>
        <w:pStyle w:val="Level2"/>
        <w:numPr>
          <w:ilvl w:val="0"/>
          <w:numId w:val="0"/>
        </w:numPr>
        <w:ind w:left="720" w:hanging="720"/>
      </w:pPr>
      <w:r>
        <w:t>11.3</w:t>
      </w:r>
      <w:r>
        <w:tab/>
      </w:r>
      <w:r w:rsidR="005436E3" w:rsidRPr="005436E3">
        <w:t>Communication must be timely, clear and professional, with early escalation of any significant risks to delivery.</w:t>
      </w:r>
    </w:p>
    <w:p w14:paraId="4632091F" w14:textId="3594C5C3" w:rsidR="005518CA" w:rsidRDefault="004D058D" w:rsidP="007C7D75">
      <w:pPr>
        <w:pStyle w:val="Level2"/>
        <w:numPr>
          <w:ilvl w:val="0"/>
          <w:numId w:val="0"/>
        </w:numPr>
        <w:ind w:left="284" w:hanging="284"/>
        <w:rPr>
          <w:b/>
          <w:bCs/>
        </w:rPr>
      </w:pPr>
      <w:r w:rsidRPr="007C7D75">
        <w:rPr>
          <w:b/>
          <w:bCs/>
        </w:rPr>
        <w:t>12</w:t>
      </w:r>
      <w:r w:rsidRPr="007C7D75">
        <w:rPr>
          <w:b/>
          <w:bCs/>
        </w:rPr>
        <w:tab/>
        <w:t xml:space="preserve">PERFORMANCE AND KEY </w:t>
      </w:r>
      <w:r w:rsidR="007C7D75" w:rsidRPr="007C7D75">
        <w:rPr>
          <w:b/>
          <w:bCs/>
        </w:rPr>
        <w:t>PERFORMANCE INDICATORS (KPIs)</w:t>
      </w:r>
    </w:p>
    <w:p w14:paraId="300F5D65" w14:textId="3439959C" w:rsidR="00CD7CCF" w:rsidRDefault="00CD7CCF" w:rsidP="007C7D75">
      <w:pPr>
        <w:pStyle w:val="Level2"/>
        <w:numPr>
          <w:ilvl w:val="0"/>
          <w:numId w:val="0"/>
        </w:numPr>
        <w:ind w:left="284" w:hanging="284"/>
      </w:pPr>
      <w:r w:rsidRPr="00CD7CCF">
        <w:t>12.1</w:t>
      </w:r>
      <w:r w:rsidRPr="00CD7CCF">
        <w:tab/>
      </w:r>
      <w:r w:rsidR="00380EB4">
        <w:t xml:space="preserve">The Trust will monitor performance at both a Framework and </w:t>
      </w:r>
      <w:r w:rsidR="00626686">
        <w:t>Call-Off</w:t>
      </w:r>
      <w:r w:rsidR="00380EB4">
        <w:t xml:space="preserve"> levels.</w:t>
      </w:r>
    </w:p>
    <w:p w14:paraId="1646D5FD" w14:textId="0772BE63" w:rsidR="00380EB4" w:rsidRDefault="00380EB4" w:rsidP="007C7D75">
      <w:pPr>
        <w:pStyle w:val="Level2"/>
        <w:numPr>
          <w:ilvl w:val="0"/>
          <w:numId w:val="0"/>
        </w:numPr>
        <w:ind w:left="284" w:hanging="284"/>
      </w:pPr>
      <w:r>
        <w:t>12.2</w:t>
      </w:r>
      <w:r w:rsidR="00121EBC">
        <w:tab/>
        <w:t xml:space="preserve">Specific KPIs will be defined </w:t>
      </w:r>
      <w:r w:rsidR="00964577">
        <w:t xml:space="preserve">in each </w:t>
      </w:r>
      <w:r w:rsidR="00626686">
        <w:t>Call-Off</w:t>
      </w:r>
      <w:r w:rsidR="00964577">
        <w:t xml:space="preserve"> contract</w:t>
      </w:r>
      <w:r w:rsidR="00770064">
        <w:t>, but may relate to:</w:t>
      </w:r>
    </w:p>
    <w:p w14:paraId="780E64C2" w14:textId="185882AB" w:rsidR="00770064" w:rsidRDefault="00527F35" w:rsidP="00AA0F4D">
      <w:pPr>
        <w:pStyle w:val="Level2"/>
        <w:numPr>
          <w:ilvl w:val="0"/>
          <w:numId w:val="75"/>
        </w:numPr>
        <w:spacing w:after="160"/>
        <w:ind w:left="1434" w:hanging="357"/>
      </w:pPr>
      <w:r>
        <w:t>d</w:t>
      </w:r>
      <w:r w:rsidR="002664D5">
        <w:t>elivery of agreed milestones</w:t>
      </w:r>
      <w:r>
        <w:t>, on time and within the agreed budget</w:t>
      </w:r>
    </w:p>
    <w:p w14:paraId="1F802E3A" w14:textId="09F74144" w:rsidR="00527F35" w:rsidRDefault="001C3D92" w:rsidP="00AA0F4D">
      <w:pPr>
        <w:pStyle w:val="Level2"/>
        <w:numPr>
          <w:ilvl w:val="0"/>
          <w:numId w:val="75"/>
        </w:numPr>
        <w:spacing w:after="160"/>
        <w:ind w:left="1434" w:hanging="357"/>
      </w:pPr>
      <w:r>
        <w:lastRenderedPageBreak/>
        <w:t>quality of outputs</w:t>
      </w:r>
      <w:r w:rsidR="00971863">
        <w:t>, including adherence to agreed methods and meet quality assurance standards</w:t>
      </w:r>
    </w:p>
    <w:p w14:paraId="33E30453" w14:textId="4B16FCCF" w:rsidR="00971863" w:rsidRDefault="00971863" w:rsidP="00AA0F4D">
      <w:pPr>
        <w:pStyle w:val="Level2"/>
        <w:numPr>
          <w:ilvl w:val="0"/>
          <w:numId w:val="75"/>
        </w:numPr>
        <w:spacing w:after="160"/>
        <w:ind w:left="1434" w:hanging="357"/>
      </w:pPr>
      <w:r>
        <w:t>responsiveness</w:t>
      </w:r>
      <w:r w:rsidR="00933A42">
        <w:t xml:space="preserve"> to queries and ability to meet agreed response times</w:t>
      </w:r>
    </w:p>
    <w:p w14:paraId="6CD45FF3" w14:textId="283F8507" w:rsidR="00933A42" w:rsidRDefault="00933A42" w:rsidP="00AA0F4D">
      <w:pPr>
        <w:pStyle w:val="Level2"/>
        <w:numPr>
          <w:ilvl w:val="0"/>
          <w:numId w:val="75"/>
        </w:numPr>
        <w:spacing w:after="160"/>
        <w:ind w:left="1434" w:hanging="357"/>
      </w:pPr>
      <w:r>
        <w:t>participant safety and ethical compliance</w:t>
      </w:r>
    </w:p>
    <w:p w14:paraId="41BE9B83" w14:textId="53E44FC2" w:rsidR="00777D7D" w:rsidRDefault="00933A42" w:rsidP="00AA0F4D">
      <w:pPr>
        <w:pStyle w:val="Level2"/>
        <w:numPr>
          <w:ilvl w:val="0"/>
          <w:numId w:val="75"/>
        </w:numPr>
        <w:spacing w:after="160"/>
        <w:ind w:left="1434" w:hanging="357"/>
      </w:pPr>
      <w:r>
        <w:t>satisfaction</w:t>
      </w:r>
      <w:r w:rsidR="003E5850">
        <w:t xml:space="preserve"> of the Trust and key stakeholders with the process and the outputs</w:t>
      </w:r>
    </w:p>
    <w:p w14:paraId="7F61CBD5" w14:textId="5A78C33E" w:rsidR="003E5850" w:rsidRDefault="003E5850" w:rsidP="003E5850">
      <w:pPr>
        <w:pStyle w:val="Level2"/>
        <w:numPr>
          <w:ilvl w:val="0"/>
          <w:numId w:val="0"/>
        </w:numPr>
        <w:ind w:left="720" w:hanging="720"/>
      </w:pPr>
      <w:r>
        <w:t>12.3</w:t>
      </w:r>
      <w:r w:rsidR="00A15A71">
        <w:tab/>
        <w:t>The Trust reserves the right to undertake performance reviews</w:t>
      </w:r>
      <w:r w:rsidR="007F2DE4">
        <w:t xml:space="preserve"> and to take appropriate action under the Framework or </w:t>
      </w:r>
      <w:r w:rsidR="00626686">
        <w:t>Call-Off</w:t>
      </w:r>
      <w:r w:rsidR="007F2DE4">
        <w:t xml:space="preserve"> terms where performance is unsatisfactory</w:t>
      </w:r>
      <w:r w:rsidR="00777D7D">
        <w:t>.</w:t>
      </w:r>
    </w:p>
    <w:p w14:paraId="10D98DA0" w14:textId="6893B879" w:rsidR="00E83A92" w:rsidRDefault="00E83A92" w:rsidP="00557EFB">
      <w:pPr>
        <w:pStyle w:val="Level2"/>
        <w:numPr>
          <w:ilvl w:val="0"/>
          <w:numId w:val="0"/>
        </w:numPr>
        <w:ind w:left="284" w:hanging="284"/>
        <w:rPr>
          <w:b/>
          <w:bCs/>
        </w:rPr>
      </w:pPr>
      <w:r w:rsidRPr="00557EFB">
        <w:rPr>
          <w:b/>
          <w:bCs/>
        </w:rPr>
        <w:t>13</w:t>
      </w:r>
      <w:r w:rsidR="00557EFB" w:rsidRPr="00557EFB">
        <w:rPr>
          <w:b/>
          <w:bCs/>
        </w:rPr>
        <w:tab/>
      </w:r>
      <w:r w:rsidR="00626686">
        <w:rPr>
          <w:b/>
          <w:bCs/>
        </w:rPr>
        <w:t>CALL-OFF</w:t>
      </w:r>
      <w:r w:rsidR="00557EFB" w:rsidRPr="00557EFB">
        <w:rPr>
          <w:b/>
          <w:bCs/>
        </w:rPr>
        <w:t xml:space="preserve"> ARRANGEMENTS</w:t>
      </w:r>
    </w:p>
    <w:p w14:paraId="58ADB306" w14:textId="053C5FD9" w:rsidR="00557EFB" w:rsidRDefault="00557EFB" w:rsidP="00526EB8">
      <w:pPr>
        <w:pStyle w:val="Level2"/>
        <w:numPr>
          <w:ilvl w:val="0"/>
          <w:numId w:val="0"/>
        </w:numPr>
        <w:ind w:left="720" w:hanging="720"/>
      </w:pPr>
      <w:r w:rsidRPr="00526EB8">
        <w:t>13.1</w:t>
      </w:r>
      <w:r w:rsidRPr="00526EB8">
        <w:tab/>
      </w:r>
      <w:r w:rsidR="00526EB8" w:rsidRPr="00526EB8">
        <w:t xml:space="preserve">The </w:t>
      </w:r>
      <w:r w:rsidR="00526EB8">
        <w:t>Trust</w:t>
      </w:r>
      <w:r w:rsidR="00526EB8" w:rsidRPr="00526EB8">
        <w:t xml:space="preserve"> will award </w:t>
      </w:r>
      <w:r w:rsidR="00626686">
        <w:t>Call-Off</w:t>
      </w:r>
      <w:r w:rsidR="00526EB8" w:rsidRPr="00526EB8">
        <w:t xml:space="preserve"> </w:t>
      </w:r>
      <w:r w:rsidR="00D85FC4">
        <w:t>c</w:t>
      </w:r>
      <w:r w:rsidR="00526EB8" w:rsidRPr="00526EB8">
        <w:t>ontracts by mini-competition or other mechanism as set out in the Framework Agreement.</w:t>
      </w:r>
    </w:p>
    <w:p w14:paraId="5154D164" w14:textId="63289DCD" w:rsidR="001550E9" w:rsidRPr="001550E9" w:rsidRDefault="000700F1" w:rsidP="008E241E">
      <w:pPr>
        <w:pStyle w:val="Level2"/>
        <w:numPr>
          <w:ilvl w:val="0"/>
          <w:numId w:val="0"/>
        </w:numPr>
        <w:ind w:left="720" w:hanging="720"/>
      </w:pPr>
      <w:r>
        <w:t>13.2</w:t>
      </w:r>
      <w:r w:rsidR="001550E9">
        <w:tab/>
      </w:r>
      <w:r w:rsidR="001550E9" w:rsidRPr="001550E9">
        <w:t xml:space="preserve">For each </w:t>
      </w:r>
      <w:r w:rsidR="00626686">
        <w:t>Call-Off</w:t>
      </w:r>
      <w:r w:rsidR="001550E9" w:rsidRPr="001550E9">
        <w:t xml:space="preserve">, the </w:t>
      </w:r>
      <w:r w:rsidR="00BC5D36">
        <w:t>Trust</w:t>
      </w:r>
      <w:r w:rsidR="001550E9" w:rsidRPr="001550E9">
        <w:t xml:space="preserve"> will </w:t>
      </w:r>
      <w:r w:rsidR="004E2E0A">
        <w:t>issue</w:t>
      </w:r>
      <w:r w:rsidR="001550E9" w:rsidRPr="008A4F9B">
        <w:t xml:space="preserve"> a </w:t>
      </w:r>
      <w:r w:rsidR="00626686">
        <w:t>Call-Off</w:t>
      </w:r>
      <w:r w:rsidR="001550E9" w:rsidRPr="008A4F9B">
        <w:t xml:space="preserve"> Specification (Statement</w:t>
      </w:r>
      <w:r w:rsidR="001550E9" w:rsidRPr="001550E9">
        <w:t xml:space="preserve"> of Requirements) which </w:t>
      </w:r>
      <w:r w:rsidR="00EC2B75">
        <w:t>will</w:t>
      </w:r>
      <w:r w:rsidR="001550E9" w:rsidRPr="001550E9">
        <w:t xml:space="preserve"> include:</w:t>
      </w:r>
    </w:p>
    <w:p w14:paraId="3DF1C0C5" w14:textId="0BE7DB49" w:rsidR="001550E9" w:rsidRPr="001550E9" w:rsidRDefault="009665D7" w:rsidP="00AA0F4D">
      <w:pPr>
        <w:pStyle w:val="Level2"/>
        <w:numPr>
          <w:ilvl w:val="0"/>
          <w:numId w:val="76"/>
        </w:numPr>
        <w:tabs>
          <w:tab w:val="clear" w:pos="720"/>
        </w:tabs>
        <w:ind w:left="1418" w:hanging="284"/>
      </w:pPr>
      <w:r>
        <w:t>b</w:t>
      </w:r>
      <w:r w:rsidR="001550E9" w:rsidRPr="001550E9">
        <w:t xml:space="preserve">ackground </w:t>
      </w:r>
      <w:r>
        <w:t xml:space="preserve">to the project </w:t>
      </w:r>
      <w:r w:rsidR="001550E9" w:rsidRPr="001550E9">
        <w:t>and objectives</w:t>
      </w:r>
    </w:p>
    <w:p w14:paraId="7E7D1E6E" w14:textId="79E8FDEF" w:rsidR="001550E9" w:rsidRPr="001550E9" w:rsidRDefault="009665D7" w:rsidP="00AA0F4D">
      <w:pPr>
        <w:pStyle w:val="Level2"/>
        <w:numPr>
          <w:ilvl w:val="0"/>
          <w:numId w:val="76"/>
        </w:numPr>
        <w:tabs>
          <w:tab w:val="clear" w:pos="720"/>
        </w:tabs>
        <w:ind w:left="1418" w:hanging="284"/>
      </w:pPr>
      <w:r>
        <w:t>k</w:t>
      </w:r>
      <w:r w:rsidR="001550E9" w:rsidRPr="001550E9">
        <w:t xml:space="preserve">ey </w:t>
      </w:r>
      <w:r>
        <w:t xml:space="preserve">research </w:t>
      </w:r>
      <w:r w:rsidR="001550E9" w:rsidRPr="001550E9">
        <w:t xml:space="preserve">questions and </w:t>
      </w:r>
      <w:r>
        <w:t>areas of investigation</w:t>
      </w:r>
    </w:p>
    <w:p w14:paraId="21054C23" w14:textId="3859725C" w:rsidR="001550E9" w:rsidRPr="001550E9" w:rsidRDefault="009665D7" w:rsidP="00AA0F4D">
      <w:pPr>
        <w:pStyle w:val="Level2"/>
        <w:numPr>
          <w:ilvl w:val="0"/>
          <w:numId w:val="76"/>
        </w:numPr>
        <w:tabs>
          <w:tab w:val="clear" w:pos="720"/>
        </w:tabs>
        <w:ind w:left="1418" w:hanging="284"/>
      </w:pPr>
      <w:r>
        <w:t>e</w:t>
      </w:r>
      <w:r w:rsidR="001550E9" w:rsidRPr="001550E9">
        <w:t>xpected outputs and timeline</w:t>
      </w:r>
    </w:p>
    <w:p w14:paraId="63469D06" w14:textId="2B5D9DA0" w:rsidR="001550E9" w:rsidRPr="001550E9" w:rsidRDefault="009665D7" w:rsidP="00AA0F4D">
      <w:pPr>
        <w:pStyle w:val="Level2"/>
        <w:numPr>
          <w:ilvl w:val="0"/>
          <w:numId w:val="76"/>
        </w:numPr>
        <w:tabs>
          <w:tab w:val="clear" w:pos="720"/>
        </w:tabs>
        <w:ind w:left="1418" w:hanging="284"/>
      </w:pPr>
      <w:r>
        <w:t>a</w:t>
      </w:r>
      <w:r w:rsidR="001550E9" w:rsidRPr="001550E9">
        <w:t xml:space="preserve">ny specific methodological, ethical or security </w:t>
      </w:r>
      <w:r w:rsidR="005E7E02">
        <w:t>considerations</w:t>
      </w:r>
    </w:p>
    <w:p w14:paraId="2702E5DE" w14:textId="19BEFC51" w:rsidR="001550E9" w:rsidRPr="001550E9" w:rsidRDefault="005E7E02" w:rsidP="00AA0F4D">
      <w:pPr>
        <w:pStyle w:val="Level2"/>
        <w:numPr>
          <w:ilvl w:val="0"/>
          <w:numId w:val="76"/>
        </w:numPr>
        <w:tabs>
          <w:tab w:val="clear" w:pos="720"/>
        </w:tabs>
        <w:ind w:left="1418" w:hanging="284"/>
      </w:pPr>
      <w:r>
        <w:t>t</w:t>
      </w:r>
      <w:r w:rsidR="004B5EC9">
        <w:t>he available budget for the work</w:t>
      </w:r>
    </w:p>
    <w:p w14:paraId="710D52B4" w14:textId="6DA9C39C" w:rsidR="001550E9" w:rsidRPr="001550E9" w:rsidRDefault="001550E9" w:rsidP="005E7E02">
      <w:pPr>
        <w:pStyle w:val="Level2"/>
        <w:numPr>
          <w:ilvl w:val="0"/>
          <w:numId w:val="0"/>
        </w:numPr>
        <w:ind w:left="720" w:hanging="720"/>
      </w:pPr>
      <w:r w:rsidRPr="001550E9">
        <w:t>1</w:t>
      </w:r>
      <w:r w:rsidR="008A4F9B">
        <w:t>3</w:t>
      </w:r>
      <w:r w:rsidRPr="001550E9">
        <w:t xml:space="preserve">.3 </w:t>
      </w:r>
      <w:r w:rsidR="008A4F9B">
        <w:tab/>
      </w:r>
      <w:r w:rsidRPr="001550E9">
        <w:t xml:space="preserve">Suppliers will be </w:t>
      </w:r>
      <w:r w:rsidR="008A4F9B">
        <w:t>invited</w:t>
      </w:r>
      <w:r w:rsidRPr="001550E9">
        <w:t xml:space="preserve"> to submit a </w:t>
      </w:r>
      <w:r w:rsidR="00626686">
        <w:t>Call-Off</w:t>
      </w:r>
      <w:r w:rsidRPr="001550E9">
        <w:t xml:space="preserve"> Proposal that </w:t>
      </w:r>
      <w:r w:rsidR="00EC2B75">
        <w:t>shall</w:t>
      </w:r>
      <w:r w:rsidRPr="001550E9">
        <w:t xml:space="preserve"> include:</w:t>
      </w:r>
    </w:p>
    <w:p w14:paraId="272AAEC4" w14:textId="076D8250" w:rsidR="001550E9" w:rsidRPr="001550E9" w:rsidRDefault="00E41DF4" w:rsidP="00AA0F4D">
      <w:pPr>
        <w:pStyle w:val="Level2"/>
        <w:numPr>
          <w:ilvl w:val="0"/>
          <w:numId w:val="77"/>
        </w:numPr>
        <w:ind w:firstLine="414"/>
      </w:pPr>
      <w:r>
        <w:t>p</w:t>
      </w:r>
      <w:r w:rsidR="001550E9" w:rsidRPr="001550E9">
        <w:t>roject understanding and proposed approach</w:t>
      </w:r>
    </w:p>
    <w:p w14:paraId="2B7F53EB" w14:textId="0F2CF867" w:rsidR="001550E9" w:rsidRPr="001550E9" w:rsidRDefault="00E41DF4" w:rsidP="00AA0F4D">
      <w:pPr>
        <w:pStyle w:val="Level2"/>
        <w:numPr>
          <w:ilvl w:val="0"/>
          <w:numId w:val="77"/>
        </w:numPr>
        <w:ind w:firstLine="414"/>
      </w:pPr>
      <w:r>
        <w:t>d</w:t>
      </w:r>
      <w:r w:rsidR="001550E9" w:rsidRPr="001550E9">
        <w:t>etailed methodology and workplan</w:t>
      </w:r>
    </w:p>
    <w:p w14:paraId="4EC3397C" w14:textId="4B4249E1" w:rsidR="001550E9" w:rsidRPr="001550E9" w:rsidRDefault="00E41DF4" w:rsidP="00AA0F4D">
      <w:pPr>
        <w:pStyle w:val="Level2"/>
        <w:numPr>
          <w:ilvl w:val="0"/>
          <w:numId w:val="77"/>
        </w:numPr>
        <w:ind w:firstLine="414"/>
      </w:pPr>
      <w:r>
        <w:t>t</w:t>
      </w:r>
      <w:r w:rsidR="001550E9" w:rsidRPr="001550E9">
        <w:t>eam, roles and time allocations</w:t>
      </w:r>
    </w:p>
    <w:p w14:paraId="32811F17" w14:textId="49191AFF" w:rsidR="001550E9" w:rsidRPr="001550E9" w:rsidRDefault="00E41DF4" w:rsidP="00AA0F4D">
      <w:pPr>
        <w:pStyle w:val="Level2"/>
        <w:numPr>
          <w:ilvl w:val="0"/>
          <w:numId w:val="77"/>
        </w:numPr>
        <w:ind w:firstLine="414"/>
      </w:pPr>
      <w:r>
        <w:t>r</w:t>
      </w:r>
      <w:r w:rsidR="001550E9" w:rsidRPr="001550E9">
        <w:t>isk management and ethics/safeguarding approach</w:t>
      </w:r>
    </w:p>
    <w:p w14:paraId="1E92956A" w14:textId="40A0CFFE" w:rsidR="001550E9" w:rsidRDefault="00AE0AC3" w:rsidP="00AA0F4D">
      <w:pPr>
        <w:pStyle w:val="Level2"/>
        <w:numPr>
          <w:ilvl w:val="0"/>
          <w:numId w:val="77"/>
        </w:numPr>
        <w:ind w:firstLine="414"/>
      </w:pPr>
      <w:r>
        <w:t>cost</w:t>
      </w:r>
      <w:r w:rsidR="00B51223">
        <w:t xml:space="preserve"> of the work</w:t>
      </w:r>
      <w:r w:rsidR="001550E9" w:rsidRPr="001550E9">
        <w:t xml:space="preserve"> based on</w:t>
      </w:r>
      <w:r>
        <w:t xml:space="preserve"> the stated budget </w:t>
      </w:r>
      <w:r w:rsidR="00B51223">
        <w:t>for the</w:t>
      </w:r>
      <w:r w:rsidR="008C79E0">
        <w:t xml:space="preserve"> specific project</w:t>
      </w:r>
    </w:p>
    <w:p w14:paraId="719E6782" w14:textId="1503B310" w:rsidR="008C79E0" w:rsidRDefault="008C79E0" w:rsidP="008C79E0">
      <w:pPr>
        <w:pStyle w:val="Level2"/>
        <w:numPr>
          <w:ilvl w:val="0"/>
          <w:numId w:val="0"/>
        </w:numPr>
        <w:ind w:left="720" w:hanging="720"/>
      </w:pPr>
      <w:r>
        <w:t>13.4</w:t>
      </w:r>
      <w:r>
        <w:tab/>
      </w:r>
      <w:r w:rsidR="00FD12EA">
        <w:t>Assessment</w:t>
      </w:r>
      <w:r w:rsidR="002E117A">
        <w:t xml:space="preserve"> of </w:t>
      </w:r>
      <w:r w:rsidR="00626686">
        <w:t>Call-Off</w:t>
      </w:r>
      <w:r w:rsidRPr="008C79E0">
        <w:t xml:space="preserve"> </w:t>
      </w:r>
      <w:r w:rsidR="00CF5B60">
        <w:t xml:space="preserve">Proposals </w:t>
      </w:r>
      <w:r w:rsidRPr="008C79E0">
        <w:t xml:space="preserve">will be conducted in accordance with the </w:t>
      </w:r>
      <w:r w:rsidR="00CF5B60">
        <w:t>criteria</w:t>
      </w:r>
      <w:r w:rsidRPr="008C79E0">
        <w:t xml:space="preserve"> set out in the Framework Agreement and </w:t>
      </w:r>
      <w:r w:rsidR="00626686">
        <w:t>Call-Off</w:t>
      </w:r>
      <w:r w:rsidRPr="008C79E0">
        <w:t xml:space="preserve"> documentation.</w:t>
      </w:r>
    </w:p>
    <w:p w14:paraId="7129A8F4" w14:textId="46267F53" w:rsidR="003024A3" w:rsidRDefault="003024A3" w:rsidP="00080A18">
      <w:pPr>
        <w:pStyle w:val="Level2"/>
        <w:numPr>
          <w:ilvl w:val="0"/>
          <w:numId w:val="0"/>
        </w:numPr>
        <w:ind w:left="284" w:hanging="284"/>
        <w:rPr>
          <w:b/>
          <w:bCs/>
        </w:rPr>
      </w:pPr>
      <w:r w:rsidRPr="002B7A3C">
        <w:rPr>
          <w:b/>
          <w:bCs/>
        </w:rPr>
        <w:t xml:space="preserve">14 </w:t>
      </w:r>
      <w:r w:rsidR="002B7A3C" w:rsidRPr="002B7A3C">
        <w:rPr>
          <w:b/>
          <w:bCs/>
        </w:rPr>
        <w:t>SOCIAL VALUE AND SUSTAINABILITY</w:t>
      </w:r>
    </w:p>
    <w:p w14:paraId="12E927A4" w14:textId="4F21E74C" w:rsidR="00080A18" w:rsidRDefault="00080A18" w:rsidP="00EE02D8">
      <w:pPr>
        <w:pStyle w:val="Level2"/>
        <w:numPr>
          <w:ilvl w:val="0"/>
          <w:numId w:val="0"/>
        </w:numPr>
        <w:ind w:left="720" w:hanging="720"/>
      </w:pPr>
      <w:r w:rsidRPr="00EE02D8">
        <w:t>14.1</w:t>
      </w:r>
      <w:r w:rsidR="00EE02D8" w:rsidRPr="00EE02D8">
        <w:tab/>
        <w:t xml:space="preserve">In delivering services under this Framework, suppliers are encouraged to contribute to social value and environmental sustainability consistent with the </w:t>
      </w:r>
      <w:r w:rsidR="00132854">
        <w:t>Trust</w:t>
      </w:r>
      <w:r w:rsidR="00EE02D8" w:rsidRPr="00EE02D8">
        <w:t xml:space="preserve">’s </w:t>
      </w:r>
      <w:r w:rsidR="00132854">
        <w:t xml:space="preserve">policies and </w:t>
      </w:r>
      <w:r w:rsidR="00EE02D8" w:rsidRPr="00EE02D8">
        <w:t>objectives</w:t>
      </w:r>
      <w:r w:rsidR="003052BB">
        <w:t>, and the Armed Forces Covenant</w:t>
      </w:r>
      <w:r w:rsidR="00EE02D8" w:rsidRPr="00EE02D8">
        <w:t>.</w:t>
      </w:r>
      <w:r w:rsidR="00DE04DC">
        <w:t xml:space="preserve"> This may include</w:t>
      </w:r>
      <w:r w:rsidR="0071097B">
        <w:t>:</w:t>
      </w:r>
    </w:p>
    <w:p w14:paraId="0CCE7792" w14:textId="4F4F53A6" w:rsidR="0071097B" w:rsidRDefault="0071097B" w:rsidP="00AA0F4D">
      <w:pPr>
        <w:pStyle w:val="Level2"/>
        <w:numPr>
          <w:ilvl w:val="0"/>
          <w:numId w:val="78"/>
        </w:numPr>
        <w:ind w:left="1418" w:hanging="284"/>
      </w:pPr>
      <w:r>
        <w:t>creating opportunities</w:t>
      </w:r>
      <w:r w:rsidR="003A03DB">
        <w:t xml:space="preserve"> for members of the armed forces community (e.g.</w:t>
      </w:r>
      <w:r w:rsidR="0002363D">
        <w:t xml:space="preserve"> </w:t>
      </w:r>
      <w:r w:rsidR="00753B0E">
        <w:t>employment, training or involvement in research activities</w:t>
      </w:r>
      <w:r w:rsidR="000D0FD0">
        <w:t>)</w:t>
      </w:r>
    </w:p>
    <w:p w14:paraId="4CD97661" w14:textId="4E6B4ACF" w:rsidR="00EB1767" w:rsidRDefault="00EB1767" w:rsidP="00AA0F4D">
      <w:pPr>
        <w:pStyle w:val="Level2"/>
        <w:numPr>
          <w:ilvl w:val="0"/>
          <w:numId w:val="78"/>
        </w:numPr>
        <w:ind w:left="1418" w:hanging="284"/>
      </w:pPr>
      <w:r>
        <w:t>supporting capacity building</w:t>
      </w:r>
      <w:r w:rsidR="00D416E6">
        <w:t xml:space="preserve"> and learning with grant holders and other stakeholder</w:t>
      </w:r>
      <w:r w:rsidR="000D0FD0">
        <w:t>s involved in research and evaluation</w:t>
      </w:r>
    </w:p>
    <w:p w14:paraId="6CCB8134" w14:textId="3AC5BD59" w:rsidR="00B771D2" w:rsidRPr="001550E9" w:rsidRDefault="00494CE7" w:rsidP="00AA0F4D">
      <w:pPr>
        <w:pStyle w:val="Level2"/>
        <w:numPr>
          <w:ilvl w:val="0"/>
          <w:numId w:val="78"/>
        </w:numPr>
        <w:ind w:left="1418" w:hanging="284"/>
      </w:pPr>
      <w:r>
        <w:t>minimising environmental impact in project delivery</w:t>
      </w:r>
      <w:r w:rsidR="00A92818">
        <w:t xml:space="preserve"> where possible</w:t>
      </w:r>
    </w:p>
    <w:p w14:paraId="1A30C9AE" w14:textId="2996A427" w:rsidR="00911A7D" w:rsidRPr="00EE02D8" w:rsidRDefault="00911A7D">
      <w:pPr>
        <w:adjustRightInd/>
        <w:spacing w:after="160" w:line="259" w:lineRule="auto"/>
        <w:rPr>
          <w:rFonts w:eastAsia="Arial" w:cs="Arial"/>
        </w:rPr>
      </w:pPr>
    </w:p>
    <w:p w14:paraId="605E7660" w14:textId="56504790" w:rsidR="009F76CC" w:rsidRPr="00410F8F" w:rsidRDefault="00911A7D" w:rsidP="00410F8F">
      <w:pPr>
        <w:pStyle w:val="Level1Heading"/>
        <w:numPr>
          <w:ilvl w:val="0"/>
          <w:numId w:val="0"/>
        </w:numPr>
        <w:jc w:val="center"/>
      </w:pPr>
      <w:bookmarkStart w:id="14" w:name="_Toc197441912"/>
      <w:r>
        <w:lastRenderedPageBreak/>
        <w:t>APPENDIX C</w:t>
      </w:r>
      <w:r w:rsidRPr="00E5488A">
        <w:t xml:space="preserve"> </w:t>
      </w:r>
      <w:r>
        <w:t>–</w:t>
      </w:r>
      <w:r w:rsidRPr="00E5488A">
        <w:t xml:space="preserve"> </w:t>
      </w:r>
      <w:r>
        <w:t>PROCUREMENT SPECIFIC QUESTIONNAIRE</w:t>
      </w:r>
      <w:bookmarkEnd w:id="14"/>
    </w:p>
    <w:p w14:paraId="6BA3DEA0" w14:textId="1548CE94" w:rsidR="00911A7D" w:rsidRPr="002C0D70" w:rsidRDefault="00911A7D" w:rsidP="00911A7D">
      <w:pPr>
        <w:pStyle w:val="Level2"/>
        <w:numPr>
          <w:ilvl w:val="0"/>
          <w:numId w:val="0"/>
        </w:numPr>
        <w:ind w:left="720" w:hanging="720"/>
        <w:rPr>
          <w:b/>
        </w:rPr>
      </w:pPr>
      <w:r w:rsidRPr="002C0D70">
        <w:rPr>
          <w:b/>
        </w:rPr>
        <w:t>P</w:t>
      </w:r>
      <w:r w:rsidR="009F76CC">
        <w:rPr>
          <w:b/>
        </w:rPr>
        <w:t xml:space="preserve">SQ Explainer </w:t>
      </w:r>
    </w:p>
    <w:p w14:paraId="7A4D26F9" w14:textId="77777777" w:rsidR="009F76CC" w:rsidRDefault="009F76CC" w:rsidP="00AA0F4D">
      <w:pPr>
        <w:pStyle w:val="Level2"/>
        <w:numPr>
          <w:ilvl w:val="1"/>
          <w:numId w:val="40"/>
        </w:numPr>
      </w:pPr>
      <w:r>
        <w:t>The PSQ consists of three parts:</w:t>
      </w:r>
    </w:p>
    <w:p w14:paraId="41E70016" w14:textId="7918AA1A" w:rsidR="009F76CC" w:rsidRPr="00B008A6" w:rsidRDefault="009F76CC" w:rsidP="00AA0F4D">
      <w:pPr>
        <w:pStyle w:val="Level3"/>
        <w:numPr>
          <w:ilvl w:val="2"/>
          <w:numId w:val="41"/>
        </w:numPr>
      </w:pPr>
      <w:r w:rsidRPr="009F76CC">
        <w:rPr>
          <w:b/>
          <w:bCs/>
        </w:rPr>
        <w:t xml:space="preserve">Part 1 - </w:t>
      </w:r>
      <w:r w:rsidR="000A0E1B">
        <w:rPr>
          <w:b/>
          <w:bCs/>
        </w:rPr>
        <w:t>C</w:t>
      </w:r>
      <w:r w:rsidRPr="009F76CC">
        <w:rPr>
          <w:b/>
          <w:bCs/>
        </w:rPr>
        <w:t xml:space="preserve">onfirmation of </w:t>
      </w:r>
      <w:r w:rsidR="000A0E1B">
        <w:rPr>
          <w:b/>
          <w:bCs/>
        </w:rPr>
        <w:t>C</w:t>
      </w:r>
      <w:r w:rsidRPr="009F76CC">
        <w:rPr>
          <w:b/>
          <w:bCs/>
        </w:rPr>
        <w:t xml:space="preserve">ore </w:t>
      </w:r>
      <w:r w:rsidR="000A0E1B">
        <w:rPr>
          <w:b/>
          <w:bCs/>
        </w:rPr>
        <w:t>S</w:t>
      </w:r>
      <w:r w:rsidRPr="009F76CC">
        <w:rPr>
          <w:b/>
          <w:bCs/>
        </w:rPr>
        <w:t xml:space="preserve">upplier </w:t>
      </w:r>
      <w:r w:rsidR="000A0E1B">
        <w:rPr>
          <w:b/>
          <w:bCs/>
        </w:rPr>
        <w:t>I</w:t>
      </w:r>
      <w:r w:rsidRPr="009F76CC">
        <w:rPr>
          <w:b/>
          <w:bCs/>
        </w:rPr>
        <w:t>nformation</w:t>
      </w:r>
      <w:r w:rsidRPr="00B008A6">
        <w:t xml:space="preserve">: </w:t>
      </w:r>
      <w:r w:rsidRPr="003479CC">
        <w:t xml:space="preserve">suppliers participating in procurements will now be expected to register on a </w:t>
      </w:r>
      <w:r w:rsidR="000A0E1B">
        <w:t>CDP</w:t>
      </w:r>
      <w:r w:rsidRPr="003479CC">
        <w:t xml:space="preserve">. Suppliers can submit their </w:t>
      </w:r>
      <w:r w:rsidR="00470907">
        <w:t>C</w:t>
      </w:r>
      <w:r w:rsidRPr="003479CC">
        <w:t xml:space="preserve">ore </w:t>
      </w:r>
      <w:r w:rsidR="00470907">
        <w:t>S</w:t>
      </w:r>
      <w:r w:rsidRPr="003479CC">
        <w:t xml:space="preserve">upplier </w:t>
      </w:r>
      <w:r w:rsidR="00470907">
        <w:t>I</w:t>
      </w:r>
      <w:r w:rsidRPr="003479CC">
        <w:t xml:space="preserve">nformation and, where a procurement opportunity arises, share this information with the contracting authority via the CDP. It is free to use and will mean </w:t>
      </w:r>
      <w:r w:rsidR="00205BE8">
        <w:t>S</w:t>
      </w:r>
      <w:r w:rsidRPr="003479CC">
        <w:t xml:space="preserve">uppliers should no longer have to re-enter this information for each public procurement but simply ensure it is up to date and subsequently shared. The CDP is available at https://www.gov.uk/find-tender. Part 1 provides confirmation that </w:t>
      </w:r>
      <w:r w:rsidR="00205BE8">
        <w:t>S</w:t>
      </w:r>
      <w:r w:rsidRPr="003479CC">
        <w:t xml:space="preserve">uppliers have taken these </w:t>
      </w:r>
      <w:r w:rsidRPr="00B008A6">
        <w:t>steps.</w:t>
      </w:r>
    </w:p>
    <w:p w14:paraId="55FB314B" w14:textId="126B59F3" w:rsidR="009F76CC" w:rsidRPr="00B008A6" w:rsidRDefault="009F76CC" w:rsidP="00AA0F4D">
      <w:pPr>
        <w:pStyle w:val="Level3"/>
        <w:numPr>
          <w:ilvl w:val="2"/>
          <w:numId w:val="51"/>
        </w:numPr>
      </w:pPr>
      <w:r w:rsidRPr="006E544A">
        <w:rPr>
          <w:b/>
          <w:bCs/>
        </w:rPr>
        <w:t>Part 2 - additional exclusions information</w:t>
      </w:r>
      <w:r w:rsidRPr="00B008A6">
        <w:t xml:space="preserve">: procurement legislation provides for an ‘exclusion regime’ and a published ‘debarment’ list to safeguard procurement from </w:t>
      </w:r>
      <w:r w:rsidR="00205BE8">
        <w:t>S</w:t>
      </w:r>
      <w:r w:rsidRPr="00B008A6">
        <w:t xml:space="preserve">uppliers who may pose a risk (for example, due to misconduct or poor performance). Suppliers must submit their own (and their </w:t>
      </w:r>
      <w:r w:rsidR="00470907">
        <w:t>C</w:t>
      </w:r>
      <w:r w:rsidRPr="00B008A6">
        <w:t>onnected persons</w:t>
      </w:r>
      <w:r w:rsidRPr="00B008A6">
        <w:rPr>
          <w:vertAlign w:val="superscript"/>
        </w:rPr>
        <w:footnoteReference w:id="1"/>
      </w:r>
      <w:r w:rsidRPr="00B008A6">
        <w:t>) exclusions information via the CDP. This includes self-declarations as to whether any exclusion grounds apply to them and, if so, details about the event or conviction and what steps have been taken to prevent such circumstances from occurring again.</w:t>
      </w:r>
    </w:p>
    <w:p w14:paraId="209EFA44" w14:textId="02A9FB1B" w:rsidR="009F76CC" w:rsidRPr="00B008A6" w:rsidRDefault="009F76CC" w:rsidP="009F76CC">
      <w:pPr>
        <w:pStyle w:val="Level3"/>
        <w:numPr>
          <w:ilvl w:val="0"/>
          <w:numId w:val="0"/>
        </w:numPr>
        <w:ind w:left="1440"/>
      </w:pPr>
      <w:r w:rsidRPr="00B008A6">
        <w:t xml:space="preserve">As part of a procurement, a </w:t>
      </w:r>
      <w:r w:rsidR="00205BE8">
        <w:t>S</w:t>
      </w:r>
      <w:r w:rsidRPr="00B008A6">
        <w:t xml:space="preserve">upplier will need to also share additional exclusions information for any </w:t>
      </w:r>
      <w:r w:rsidR="00205BE8">
        <w:t>S</w:t>
      </w:r>
      <w:r w:rsidRPr="00B008A6">
        <w:t xml:space="preserve">uppliers that they are relying on to meet the procurement’s </w:t>
      </w:r>
      <w:r w:rsidR="00470907">
        <w:t>C</w:t>
      </w:r>
      <w:r w:rsidRPr="00B008A6">
        <w:t xml:space="preserve">onditions of </w:t>
      </w:r>
      <w:r w:rsidR="00470907">
        <w:t>P</w:t>
      </w:r>
      <w:r w:rsidRPr="00B008A6">
        <w:t xml:space="preserve">articipation. These could either be consortium members or key sub-contractors (but excludes any guarantors). These </w:t>
      </w:r>
      <w:r w:rsidR="00205BE8">
        <w:t>S</w:t>
      </w:r>
      <w:r w:rsidRPr="00B008A6">
        <w:t>uppliers are ‘</w:t>
      </w:r>
      <w:r w:rsidR="00470907">
        <w:t>A</w:t>
      </w:r>
      <w:r w:rsidRPr="00B008A6">
        <w:t xml:space="preserve">ssociated </w:t>
      </w:r>
      <w:r w:rsidR="00470907">
        <w:t>P</w:t>
      </w:r>
      <w:r w:rsidRPr="00B008A6">
        <w:t xml:space="preserve">ersons’ and their exclusions information must be shared with the contracting authority. We recommend this is done by ensuring that </w:t>
      </w:r>
      <w:r w:rsidR="00470907">
        <w:t>A</w:t>
      </w:r>
      <w:r w:rsidRPr="00B008A6">
        <w:t xml:space="preserve">ssociated </w:t>
      </w:r>
      <w:r w:rsidR="00470907">
        <w:t>P</w:t>
      </w:r>
      <w:r w:rsidRPr="00B008A6">
        <w:t xml:space="preserve">ersons register, submit and share their information via the CDP (like the prime/main </w:t>
      </w:r>
      <w:r w:rsidR="00205BE8">
        <w:t>S</w:t>
      </w:r>
      <w:r w:rsidRPr="00B008A6">
        <w:t>upplier).</w:t>
      </w:r>
    </w:p>
    <w:p w14:paraId="0DF3CB63" w14:textId="3B0F36A8" w:rsidR="009F76CC" w:rsidRPr="00B008A6" w:rsidRDefault="009F76CC" w:rsidP="009F76CC">
      <w:pPr>
        <w:pStyle w:val="Level3"/>
        <w:numPr>
          <w:ilvl w:val="0"/>
          <w:numId w:val="0"/>
        </w:numPr>
        <w:ind w:left="1440"/>
      </w:pPr>
      <w:r w:rsidRPr="00B008A6">
        <w:t xml:space="preserve">In addition to the sub-contractors who are being relied on to meet the </w:t>
      </w:r>
      <w:r w:rsidR="00470907">
        <w:t>C</w:t>
      </w:r>
      <w:r w:rsidRPr="00B008A6">
        <w:t xml:space="preserve">onditions of </w:t>
      </w:r>
      <w:r w:rsidR="00470907">
        <w:t>P</w:t>
      </w:r>
      <w:r w:rsidRPr="00B008A6">
        <w:t xml:space="preserve">articipation (who are </w:t>
      </w:r>
      <w:r w:rsidR="00470907">
        <w:t>A</w:t>
      </w:r>
      <w:r w:rsidRPr="00B008A6">
        <w:t xml:space="preserve">ssociated </w:t>
      </w:r>
      <w:r w:rsidR="00470907">
        <w:t>P</w:t>
      </w:r>
      <w:r w:rsidRPr="00B008A6">
        <w:t xml:space="preserve">ersons), </w:t>
      </w:r>
      <w:r w:rsidR="00205BE8">
        <w:t>S</w:t>
      </w:r>
      <w:r w:rsidRPr="00B008A6">
        <w:t xml:space="preserve">uppliers will need to share an exhaustive list of all their </w:t>
      </w:r>
      <w:r w:rsidR="00470907">
        <w:t>I</w:t>
      </w:r>
      <w:r w:rsidRPr="00B008A6">
        <w:t xml:space="preserve">ntended </w:t>
      </w:r>
      <w:r w:rsidR="00470907">
        <w:t>S</w:t>
      </w:r>
      <w:r w:rsidRPr="00B008A6">
        <w:t>ub-contractors, which will be checked against the debarment list.</w:t>
      </w:r>
    </w:p>
    <w:p w14:paraId="5CCE4FC8" w14:textId="51B09236" w:rsidR="009F76CC" w:rsidRPr="00B008A6" w:rsidRDefault="009F76CC" w:rsidP="009F76CC">
      <w:pPr>
        <w:pStyle w:val="Level3"/>
        <w:numPr>
          <w:ilvl w:val="0"/>
          <w:numId w:val="0"/>
        </w:numPr>
        <w:ind w:left="1440"/>
      </w:pPr>
      <w:r w:rsidRPr="00B008A6">
        <w:t xml:space="preserve">If a sub-contractor is unknown at the start of the procurement (or brought in during it), this should be made clear by the </w:t>
      </w:r>
      <w:r w:rsidR="00205BE8">
        <w:t>S</w:t>
      </w:r>
      <w:r w:rsidRPr="00B008A6">
        <w:t>upplier and relevant details of the sub-contractor should be provided once their identity and role is confirmed. This information should be shared with the contracting authority as soon as possible and at least by final tenders.</w:t>
      </w:r>
    </w:p>
    <w:p w14:paraId="71D79C0C" w14:textId="3EFAD574" w:rsidR="009F76CC" w:rsidRPr="00B008A6" w:rsidRDefault="009F76CC" w:rsidP="00AF0DFE">
      <w:pPr>
        <w:pStyle w:val="Level3"/>
      </w:pPr>
      <w:r w:rsidRPr="00B008A6">
        <w:rPr>
          <w:b/>
          <w:bCs/>
        </w:rPr>
        <w:t xml:space="preserve">Part 3 - </w:t>
      </w:r>
      <w:r w:rsidR="00470907">
        <w:rPr>
          <w:b/>
          <w:bCs/>
        </w:rPr>
        <w:t>C</w:t>
      </w:r>
      <w:r w:rsidRPr="00B008A6">
        <w:rPr>
          <w:b/>
          <w:bCs/>
        </w:rPr>
        <w:t xml:space="preserve">onditions of </w:t>
      </w:r>
      <w:r w:rsidR="00470907">
        <w:rPr>
          <w:b/>
          <w:bCs/>
        </w:rPr>
        <w:t>P</w:t>
      </w:r>
      <w:r w:rsidRPr="00B008A6">
        <w:rPr>
          <w:b/>
          <w:bCs/>
        </w:rPr>
        <w:t>articipation</w:t>
      </w:r>
      <w:r w:rsidRPr="00B008A6">
        <w:t xml:space="preserve">: contracting authorities may set </w:t>
      </w:r>
      <w:r w:rsidR="00470907">
        <w:t>C</w:t>
      </w:r>
      <w:r w:rsidRPr="00B008A6">
        <w:t xml:space="preserve">onditions of </w:t>
      </w:r>
      <w:r w:rsidR="00470907">
        <w:t>P</w:t>
      </w:r>
      <w:r w:rsidRPr="00B008A6">
        <w:t xml:space="preserve">articipation which a </w:t>
      </w:r>
      <w:r w:rsidR="00205BE8">
        <w:t>S</w:t>
      </w:r>
      <w:r w:rsidRPr="00B008A6">
        <w:t xml:space="preserve">upplier must satisfy in order to be awarded a public contract. They can relate to the </w:t>
      </w:r>
      <w:r w:rsidR="00205BE8">
        <w:t>S</w:t>
      </w:r>
      <w:r w:rsidRPr="00B008A6">
        <w:t>upplier’s legal and financial capacity or their technical ability.</w:t>
      </w:r>
    </w:p>
    <w:p w14:paraId="778A63E1" w14:textId="37DBA320" w:rsidR="009F76CC" w:rsidRPr="00B008A6" w:rsidRDefault="009F76CC" w:rsidP="00AA0F4D">
      <w:pPr>
        <w:pStyle w:val="Level2"/>
        <w:numPr>
          <w:ilvl w:val="1"/>
          <w:numId w:val="40"/>
        </w:numPr>
      </w:pPr>
      <w:r w:rsidRPr="00B008A6">
        <w:t xml:space="preserve">Some of the information requested in the PSQ will be for information purposes only. Other information will be assessed by the contracting authority. This might include a pass or fail mechanism, or a threshold which the </w:t>
      </w:r>
      <w:r w:rsidR="00205BE8">
        <w:t>S</w:t>
      </w:r>
      <w:r w:rsidRPr="00B008A6">
        <w:t xml:space="preserve">upplier must meet. </w:t>
      </w:r>
    </w:p>
    <w:p w14:paraId="1326A1C2" w14:textId="000DD041" w:rsidR="009F76CC" w:rsidRPr="00B008A6" w:rsidRDefault="009F76CC" w:rsidP="00AA0F4D">
      <w:pPr>
        <w:pStyle w:val="Level2"/>
        <w:numPr>
          <w:ilvl w:val="1"/>
          <w:numId w:val="40"/>
        </w:numPr>
      </w:pPr>
      <w:r w:rsidRPr="00B008A6">
        <w:lastRenderedPageBreak/>
        <w:t xml:space="preserve">Suppliers should note that contracting authorities have legislative duties to publish certain information which relate to the </w:t>
      </w:r>
      <w:r w:rsidR="00205BE8">
        <w:t>S</w:t>
      </w:r>
      <w:r w:rsidRPr="00B008A6">
        <w:t>upplier in their contract award notices. This information includes, but is not limited to:</w:t>
      </w:r>
    </w:p>
    <w:p w14:paraId="4C183C0F" w14:textId="5B2D7E82" w:rsidR="009F76CC" w:rsidRPr="00B008A6" w:rsidRDefault="009F76CC" w:rsidP="00AA0F4D">
      <w:pPr>
        <w:pStyle w:val="ListParagraph"/>
        <w:numPr>
          <w:ilvl w:val="0"/>
          <w:numId w:val="67"/>
        </w:numPr>
        <w:pBdr>
          <w:top w:val="nil"/>
          <w:left w:val="nil"/>
          <w:bottom w:val="nil"/>
          <w:right w:val="nil"/>
          <w:between w:val="nil"/>
        </w:pBdr>
        <w:suppressAutoHyphens/>
        <w:adjustRightInd/>
        <w:jc w:val="both"/>
      </w:pPr>
      <w:r w:rsidRPr="00B008A6">
        <w:t xml:space="preserve">details of the winning </w:t>
      </w:r>
      <w:r w:rsidR="00205BE8">
        <w:t>S</w:t>
      </w:r>
      <w:r w:rsidRPr="00B008A6">
        <w:t xml:space="preserve">upplier’s </w:t>
      </w:r>
      <w:r w:rsidR="00470907">
        <w:t>A</w:t>
      </w:r>
      <w:r w:rsidRPr="00B008A6">
        <w:t xml:space="preserve">ssociated </w:t>
      </w:r>
      <w:r w:rsidR="00470907">
        <w:t>P</w:t>
      </w:r>
      <w:r w:rsidRPr="00B008A6">
        <w:t xml:space="preserve">ersons </w:t>
      </w:r>
    </w:p>
    <w:p w14:paraId="58C4E836" w14:textId="74ED2185" w:rsidR="009F76CC" w:rsidRPr="00B008A6" w:rsidRDefault="009F76CC" w:rsidP="00AA0F4D">
      <w:pPr>
        <w:pStyle w:val="ListParagraph"/>
        <w:numPr>
          <w:ilvl w:val="0"/>
          <w:numId w:val="67"/>
        </w:numPr>
        <w:pBdr>
          <w:top w:val="nil"/>
          <w:left w:val="nil"/>
          <w:bottom w:val="nil"/>
          <w:right w:val="nil"/>
          <w:between w:val="nil"/>
        </w:pBdr>
        <w:suppressAutoHyphens/>
        <w:adjustRightInd/>
        <w:jc w:val="both"/>
      </w:pPr>
      <w:r w:rsidRPr="00B008A6">
        <w:t xml:space="preserve">details of the winning </w:t>
      </w:r>
      <w:r w:rsidR="00205BE8">
        <w:t>S</w:t>
      </w:r>
      <w:r w:rsidRPr="00B008A6">
        <w:t xml:space="preserve">upplier’s </w:t>
      </w:r>
      <w:r w:rsidR="00470907">
        <w:t>C</w:t>
      </w:r>
      <w:r w:rsidRPr="00B008A6">
        <w:t>onnected person information</w:t>
      </w:r>
    </w:p>
    <w:p w14:paraId="150D3484" w14:textId="77777777" w:rsidR="009F76CC" w:rsidRPr="00B008A6" w:rsidRDefault="009F76CC" w:rsidP="00AA0F4D">
      <w:pPr>
        <w:pStyle w:val="ListParagraph"/>
        <w:numPr>
          <w:ilvl w:val="0"/>
          <w:numId w:val="67"/>
        </w:numPr>
        <w:pBdr>
          <w:top w:val="nil"/>
          <w:left w:val="nil"/>
          <w:bottom w:val="nil"/>
          <w:right w:val="nil"/>
          <w:between w:val="nil"/>
        </w:pBdr>
        <w:suppressAutoHyphens/>
        <w:adjustRightInd/>
        <w:jc w:val="both"/>
      </w:pPr>
      <w:r w:rsidRPr="00B008A6">
        <w:t>for certain procurements over £5 million, details of unsuccessful bidders</w:t>
      </w:r>
    </w:p>
    <w:p w14:paraId="36A457B6" w14:textId="77777777" w:rsidR="009F76CC" w:rsidRPr="00B008A6" w:rsidRDefault="009F76CC" w:rsidP="009F76CC">
      <w:pPr>
        <w:pBdr>
          <w:top w:val="nil"/>
          <w:left w:val="nil"/>
          <w:bottom w:val="nil"/>
          <w:right w:val="nil"/>
          <w:between w:val="nil"/>
        </w:pBdr>
        <w:suppressAutoHyphens/>
        <w:jc w:val="both"/>
      </w:pPr>
    </w:p>
    <w:p w14:paraId="1C306EC7" w14:textId="482BEBAB" w:rsidR="009F76CC" w:rsidRDefault="009F76CC" w:rsidP="00AA0F4D">
      <w:pPr>
        <w:pStyle w:val="Level2"/>
        <w:numPr>
          <w:ilvl w:val="1"/>
          <w:numId w:val="40"/>
        </w:numPr>
      </w:pPr>
      <w:r w:rsidRPr="00B008A6">
        <w:t xml:space="preserve">Where a </w:t>
      </w:r>
      <w:r w:rsidR="00205BE8">
        <w:t>S</w:t>
      </w:r>
      <w:r w:rsidRPr="00B008A6">
        <w:t>upplier is unsure or requires any clarification, they should check with the contracting authority.</w:t>
      </w:r>
    </w:p>
    <w:tbl>
      <w:tblPr>
        <w:tblW w:w="5347" w:type="pct"/>
        <w:tblLayout w:type="fixed"/>
        <w:tblCellMar>
          <w:top w:w="57" w:type="dxa"/>
          <w:left w:w="0" w:type="dxa"/>
          <w:bottom w:w="57" w:type="dxa"/>
          <w:right w:w="0" w:type="dxa"/>
        </w:tblCellMar>
        <w:tblLook w:val="0600" w:firstRow="0" w:lastRow="0" w:firstColumn="0" w:lastColumn="0" w:noHBand="1" w:noVBand="1"/>
      </w:tblPr>
      <w:tblGrid>
        <w:gridCol w:w="650"/>
        <w:gridCol w:w="8448"/>
      </w:tblGrid>
      <w:tr w:rsidR="009F76CC" w:rsidRPr="009F76CC" w14:paraId="7A4722FA" w14:textId="77777777" w:rsidTr="001F2CCD">
        <w:trPr>
          <w:cantSplit/>
          <w:trHeight w:val="113"/>
        </w:trPr>
        <w:tc>
          <w:tcPr>
            <w:tcW w:w="650" w:type="dxa"/>
            <w:tcBorders>
              <w:bottom w:val="single" w:sz="4" w:space="0" w:color="auto"/>
            </w:tcBorders>
            <w:shd w:val="clear" w:color="auto" w:fill="F9CFE9" w:themeFill="text1" w:themeFillTint="33"/>
            <w:tcMar>
              <w:top w:w="57" w:type="dxa"/>
              <w:left w:w="0" w:type="dxa"/>
              <w:bottom w:w="57" w:type="dxa"/>
              <w:right w:w="0" w:type="dxa"/>
            </w:tcMar>
          </w:tcPr>
          <w:p w14:paraId="69556186"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No.</w:t>
            </w:r>
          </w:p>
        </w:tc>
        <w:tc>
          <w:tcPr>
            <w:tcW w:w="8448" w:type="dxa"/>
            <w:tcBorders>
              <w:bottom w:val="single" w:sz="4" w:space="0" w:color="auto"/>
            </w:tcBorders>
            <w:shd w:val="clear" w:color="auto" w:fill="F9CFE9" w:themeFill="text1" w:themeFillTint="33"/>
            <w:tcMar>
              <w:top w:w="57" w:type="dxa"/>
              <w:left w:w="0" w:type="dxa"/>
              <w:bottom w:w="57" w:type="dxa"/>
              <w:right w:w="0" w:type="dxa"/>
            </w:tcMar>
          </w:tcPr>
          <w:p w14:paraId="0B8B4E4A"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Question</w:t>
            </w:r>
          </w:p>
        </w:tc>
      </w:tr>
      <w:tr w:rsidR="009F76CC" w:rsidRPr="009F76CC" w14:paraId="5ED55B5B" w14:textId="77777777" w:rsidTr="001F2CCD">
        <w:trPr>
          <w:cantSplit/>
          <w:trHeight w:val="113"/>
        </w:trPr>
        <w:tc>
          <w:tcPr>
            <w:tcW w:w="9098" w:type="dxa"/>
            <w:gridSpan w:val="2"/>
            <w:tcBorders>
              <w:top w:val="single" w:sz="4" w:space="0" w:color="auto"/>
            </w:tcBorders>
            <w:shd w:val="clear" w:color="auto" w:fill="F9CFE9" w:themeFill="text1" w:themeFillTint="33"/>
            <w:tcMar>
              <w:top w:w="57" w:type="dxa"/>
              <w:left w:w="0" w:type="dxa"/>
              <w:bottom w:w="57" w:type="dxa"/>
              <w:right w:w="0" w:type="dxa"/>
            </w:tcMar>
          </w:tcPr>
          <w:p w14:paraId="1615D692" w14:textId="77777777" w:rsidR="009F76CC" w:rsidRPr="009F76CC" w:rsidRDefault="009F76CC" w:rsidP="001B3144">
            <w:pPr>
              <w:keepNext/>
              <w:keepLines/>
              <w:widowControl w:val="0"/>
              <w:rPr>
                <w:rFonts w:asciiTheme="minorHAnsi" w:hAnsiTheme="minorHAnsi" w:cstheme="minorHAnsi"/>
              </w:rPr>
            </w:pPr>
            <w:bookmarkStart w:id="15" w:name="_Toc183608004"/>
            <w:bookmarkStart w:id="16" w:name="_Toc185334274"/>
            <w:r w:rsidRPr="009F76CC">
              <w:rPr>
                <w:rFonts w:asciiTheme="minorHAnsi" w:hAnsiTheme="minorHAnsi" w:cstheme="minorHAnsi"/>
                <w:b/>
              </w:rPr>
              <w:t>Preliminary questions</w:t>
            </w:r>
            <w:bookmarkEnd w:id="15"/>
            <w:bookmarkEnd w:id="16"/>
          </w:p>
        </w:tc>
      </w:tr>
      <w:tr w:rsidR="009F76CC" w:rsidRPr="009F76CC" w14:paraId="10C7F01C" w14:textId="77777777" w:rsidTr="001F2CCD">
        <w:trPr>
          <w:cantSplit/>
          <w:trHeight w:val="113"/>
        </w:trPr>
        <w:tc>
          <w:tcPr>
            <w:tcW w:w="650" w:type="dxa"/>
            <w:vMerge w:val="restart"/>
            <w:tcMar>
              <w:top w:w="57" w:type="dxa"/>
              <w:left w:w="0" w:type="dxa"/>
              <w:bottom w:w="57" w:type="dxa"/>
              <w:right w:w="0" w:type="dxa"/>
            </w:tcMar>
          </w:tcPr>
          <w:p w14:paraId="3A1E945D"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bottom w:val="dashed" w:sz="4" w:space="0" w:color="auto"/>
            </w:tcBorders>
            <w:tcMar>
              <w:top w:w="57" w:type="dxa"/>
              <w:left w:w="0" w:type="dxa"/>
              <w:bottom w:w="57" w:type="dxa"/>
              <w:right w:w="0" w:type="dxa"/>
            </w:tcMar>
          </w:tcPr>
          <w:p w14:paraId="422E999D" w14:textId="57FCDECE" w:rsidR="009F76CC" w:rsidRPr="009F76CC" w:rsidRDefault="009F76CC" w:rsidP="0035109B">
            <w:pPr>
              <w:widowControl w:val="0"/>
              <w:rPr>
                <w:rFonts w:asciiTheme="minorHAnsi" w:hAnsiTheme="minorHAnsi" w:cstheme="minorHAnsi"/>
              </w:rPr>
            </w:pPr>
            <w:r w:rsidRPr="009F76CC">
              <w:rPr>
                <w:rFonts w:asciiTheme="minorHAnsi" w:hAnsiTheme="minorHAnsi" w:cstheme="minorHAnsi"/>
              </w:rPr>
              <w:t>What is your name? (</w:t>
            </w:r>
            <w:r w:rsidR="00205BE8">
              <w:rPr>
                <w:rFonts w:asciiTheme="minorHAnsi" w:hAnsiTheme="minorHAnsi" w:cstheme="minorHAnsi"/>
              </w:rPr>
              <w:t>S</w:t>
            </w:r>
            <w:r w:rsidRPr="009F76CC">
              <w:rPr>
                <w:rFonts w:asciiTheme="minorHAnsi" w:hAnsiTheme="minorHAnsi" w:cstheme="minorHAnsi"/>
              </w:rPr>
              <w:t>upplier name)</w:t>
            </w:r>
          </w:p>
        </w:tc>
      </w:tr>
      <w:tr w:rsidR="009F76CC" w:rsidRPr="009F76CC" w14:paraId="0BD7E95E"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61530E01"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bottom w:val="single" w:sz="4" w:space="0" w:color="auto"/>
            </w:tcBorders>
            <w:tcMar>
              <w:top w:w="57" w:type="dxa"/>
              <w:left w:w="0" w:type="dxa"/>
              <w:bottom w:w="57" w:type="dxa"/>
              <w:right w:w="0" w:type="dxa"/>
            </w:tcMar>
          </w:tcPr>
          <w:p w14:paraId="4A4D202B"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name]</w:t>
            </w:r>
          </w:p>
        </w:tc>
      </w:tr>
      <w:tr w:rsidR="009F76CC" w:rsidRPr="009F76CC" w14:paraId="2B8355A6"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75206328"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7688F595" w14:textId="77777777" w:rsidR="009F76CC" w:rsidRPr="009F76CC" w:rsidRDefault="009F76CC" w:rsidP="0035109B">
            <w:pPr>
              <w:widowControl w:val="0"/>
              <w:spacing w:after="120"/>
              <w:rPr>
                <w:rFonts w:asciiTheme="minorHAnsi" w:hAnsiTheme="minorHAnsi" w:cstheme="minorHAnsi"/>
                <w:i/>
              </w:rPr>
            </w:pPr>
            <w:r w:rsidRPr="009F76CC">
              <w:rPr>
                <w:rFonts w:asciiTheme="minorHAnsi" w:hAnsiTheme="minorHAnsi" w:cstheme="minorHAnsi"/>
                <w:i/>
              </w:rPr>
              <w:t>You must be registered on the central digital platform (CDP).</w:t>
            </w:r>
          </w:p>
          <w:p w14:paraId="7F423F4C" w14:textId="73A01838" w:rsidR="009F76CC" w:rsidRPr="009F76CC" w:rsidRDefault="009F76CC" w:rsidP="0035109B">
            <w:pPr>
              <w:widowControl w:val="0"/>
              <w:rPr>
                <w:rFonts w:asciiTheme="minorHAnsi" w:hAnsiTheme="minorHAnsi" w:cstheme="minorHAnsi"/>
              </w:rPr>
            </w:pPr>
            <w:r w:rsidRPr="009F76CC">
              <w:rPr>
                <w:rFonts w:asciiTheme="minorHAnsi" w:hAnsiTheme="minorHAnsi" w:cstheme="minorHAnsi"/>
              </w:rPr>
              <w:t xml:space="preserve">What is your </w:t>
            </w:r>
            <w:r w:rsidR="00470907">
              <w:rPr>
                <w:rFonts w:asciiTheme="minorHAnsi" w:hAnsiTheme="minorHAnsi" w:cstheme="minorHAnsi"/>
              </w:rPr>
              <w:t>CDP U</w:t>
            </w:r>
            <w:r w:rsidRPr="009F76CC">
              <w:rPr>
                <w:rFonts w:asciiTheme="minorHAnsi" w:hAnsiTheme="minorHAnsi" w:cstheme="minorHAnsi"/>
              </w:rPr>
              <w:t xml:space="preserve">nique </w:t>
            </w:r>
            <w:r w:rsidR="00470907">
              <w:rPr>
                <w:rFonts w:asciiTheme="minorHAnsi" w:hAnsiTheme="minorHAnsi" w:cstheme="minorHAnsi"/>
              </w:rPr>
              <w:t>I</w:t>
            </w:r>
            <w:r w:rsidRPr="009F76CC">
              <w:rPr>
                <w:rFonts w:asciiTheme="minorHAnsi" w:hAnsiTheme="minorHAnsi" w:cstheme="minorHAnsi"/>
              </w:rPr>
              <w:t>dentifier?</w:t>
            </w:r>
          </w:p>
        </w:tc>
      </w:tr>
      <w:tr w:rsidR="009F76CC" w:rsidRPr="009F76CC" w14:paraId="57CC8FB3"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687991B3"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bottom w:val="single" w:sz="4" w:space="0" w:color="auto"/>
            </w:tcBorders>
            <w:tcMar>
              <w:top w:w="57" w:type="dxa"/>
              <w:left w:w="0" w:type="dxa"/>
              <w:bottom w:w="57" w:type="dxa"/>
              <w:right w:w="0" w:type="dxa"/>
            </w:tcMar>
          </w:tcPr>
          <w:p w14:paraId="1AD77C69" w14:textId="7E21DB85"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 xml:space="preserve">[Insert </w:t>
            </w:r>
            <w:r w:rsidR="00470907">
              <w:rPr>
                <w:rFonts w:asciiTheme="minorHAnsi" w:hAnsiTheme="minorHAnsi" w:cstheme="minorHAnsi"/>
                <w:b/>
              </w:rPr>
              <w:t>U</w:t>
            </w:r>
            <w:r w:rsidRPr="009F76CC">
              <w:rPr>
                <w:rFonts w:asciiTheme="minorHAnsi" w:hAnsiTheme="minorHAnsi" w:cstheme="minorHAnsi"/>
                <w:b/>
              </w:rPr>
              <w:t xml:space="preserve">nique </w:t>
            </w:r>
            <w:r w:rsidR="00470907">
              <w:rPr>
                <w:rFonts w:asciiTheme="minorHAnsi" w:hAnsiTheme="minorHAnsi" w:cstheme="minorHAnsi"/>
                <w:b/>
              </w:rPr>
              <w:t>I</w:t>
            </w:r>
            <w:r w:rsidRPr="009F76CC">
              <w:rPr>
                <w:rFonts w:asciiTheme="minorHAnsi" w:hAnsiTheme="minorHAnsi" w:cstheme="minorHAnsi"/>
                <w:b/>
              </w:rPr>
              <w:t>dentifier]</w:t>
            </w:r>
          </w:p>
        </w:tc>
      </w:tr>
      <w:tr w:rsidR="009F76CC" w:rsidRPr="009F76CC" w14:paraId="6A7A48BD"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5DB1B1C6"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04FDDA6A" w14:textId="73EF842F"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 xml:space="preserve">Please confirm if you are bidding as a single </w:t>
            </w:r>
            <w:r w:rsidR="00205BE8">
              <w:rPr>
                <w:rFonts w:asciiTheme="minorHAnsi" w:hAnsiTheme="minorHAnsi" w:cstheme="minorHAnsi"/>
              </w:rPr>
              <w:t>S</w:t>
            </w:r>
            <w:r w:rsidRPr="009F76CC">
              <w:rPr>
                <w:rFonts w:asciiTheme="minorHAnsi" w:hAnsiTheme="minorHAnsi" w:cstheme="minorHAnsi"/>
              </w:rPr>
              <w:t>upplier (with or without sub-contractors) or as part of a group or consortium.</w:t>
            </w:r>
          </w:p>
          <w:p w14:paraId="19B0D40D" w14:textId="46AEFD7A"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 xml:space="preserve">If you are bidding as part of a group or consortium (including where you intend to establish a legal entity to deliver the </w:t>
            </w:r>
            <w:r w:rsidR="00205BE8">
              <w:rPr>
                <w:rFonts w:asciiTheme="minorHAnsi" w:hAnsiTheme="minorHAnsi" w:cstheme="minorHAnsi"/>
              </w:rPr>
              <w:t>C</w:t>
            </w:r>
            <w:r w:rsidRPr="009F76CC">
              <w:rPr>
                <w:rFonts w:asciiTheme="minorHAnsi" w:hAnsiTheme="minorHAnsi" w:cstheme="minorHAnsi"/>
              </w:rPr>
              <w:t xml:space="preserve">ontract), please provide: </w:t>
            </w:r>
          </w:p>
          <w:p w14:paraId="2FC3AB66" w14:textId="77777777" w:rsidR="009F76CC" w:rsidRPr="009F76CC" w:rsidRDefault="009F76CC" w:rsidP="00AA0F4D">
            <w:pPr>
              <w:widowControl w:val="0"/>
              <w:numPr>
                <w:ilvl w:val="0"/>
                <w:numId w:val="45"/>
              </w:numPr>
              <w:adjustRightInd/>
              <w:spacing w:after="120"/>
              <w:contextualSpacing/>
              <w:rPr>
                <w:rFonts w:asciiTheme="minorHAnsi" w:hAnsiTheme="minorHAnsi" w:cstheme="minorHAnsi"/>
              </w:rPr>
            </w:pPr>
            <w:r w:rsidRPr="009F76CC">
              <w:rPr>
                <w:rFonts w:asciiTheme="minorHAnsi" w:hAnsiTheme="minorHAnsi" w:cstheme="minorHAnsi"/>
              </w:rPr>
              <w:t>the name of the group/consortium</w:t>
            </w:r>
          </w:p>
          <w:p w14:paraId="00933622" w14:textId="77777777" w:rsidR="009F76CC" w:rsidRPr="009F76CC" w:rsidRDefault="009F76CC" w:rsidP="00AA0F4D">
            <w:pPr>
              <w:widowControl w:val="0"/>
              <w:numPr>
                <w:ilvl w:val="0"/>
                <w:numId w:val="45"/>
              </w:numPr>
              <w:adjustRightInd/>
              <w:spacing w:after="120"/>
              <w:contextualSpacing/>
              <w:rPr>
                <w:rFonts w:asciiTheme="minorHAnsi" w:hAnsiTheme="minorHAnsi" w:cstheme="minorHAnsi"/>
              </w:rPr>
            </w:pPr>
            <w:r w:rsidRPr="009F76CC">
              <w:rPr>
                <w:rFonts w:asciiTheme="minorHAnsi" w:hAnsiTheme="minorHAnsi" w:cstheme="minorHAnsi"/>
              </w:rPr>
              <w:t>the proposed structure of the group/consortium, including the legal structure where applicable</w:t>
            </w:r>
          </w:p>
          <w:p w14:paraId="2A90742B" w14:textId="77777777" w:rsidR="009F76CC" w:rsidRPr="009F76CC" w:rsidRDefault="009F76CC" w:rsidP="00AA0F4D">
            <w:pPr>
              <w:widowControl w:val="0"/>
              <w:numPr>
                <w:ilvl w:val="0"/>
                <w:numId w:val="45"/>
              </w:numPr>
              <w:adjustRightInd/>
              <w:spacing w:after="120"/>
              <w:contextualSpacing/>
              <w:rPr>
                <w:rFonts w:asciiTheme="minorHAnsi" w:hAnsiTheme="minorHAnsi" w:cstheme="minorHAnsi"/>
              </w:rPr>
            </w:pPr>
            <w:r w:rsidRPr="009F76CC">
              <w:rPr>
                <w:rFonts w:asciiTheme="minorHAnsi" w:hAnsiTheme="minorHAnsi" w:cstheme="minorHAnsi"/>
              </w:rPr>
              <w:t>the name of the lead member in the group/consortium</w:t>
            </w:r>
          </w:p>
          <w:p w14:paraId="02C569D9" w14:textId="77777777" w:rsidR="009F76CC" w:rsidRPr="009F76CC" w:rsidRDefault="009F76CC" w:rsidP="00AA0F4D">
            <w:pPr>
              <w:widowControl w:val="0"/>
              <w:numPr>
                <w:ilvl w:val="0"/>
                <w:numId w:val="45"/>
              </w:numPr>
              <w:adjustRightInd/>
              <w:contextualSpacing/>
              <w:rPr>
                <w:rFonts w:asciiTheme="minorHAnsi" w:hAnsiTheme="minorHAnsi" w:cstheme="minorHAnsi"/>
              </w:rPr>
            </w:pPr>
            <w:r w:rsidRPr="009F76CC">
              <w:rPr>
                <w:rFonts w:asciiTheme="minorHAnsi" w:hAnsiTheme="minorHAnsi" w:cstheme="minorHAnsi"/>
              </w:rPr>
              <w:t>your role in the group/consortium (e.g. lead member, consortium member, sub-contractor)</w:t>
            </w:r>
          </w:p>
        </w:tc>
      </w:tr>
      <w:tr w:rsidR="009F76CC" w:rsidRPr="009F76CC" w14:paraId="59B0CEEB"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704564DF"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bottom w:val="single" w:sz="4" w:space="0" w:color="auto"/>
            </w:tcBorders>
            <w:tcMar>
              <w:top w:w="57" w:type="dxa"/>
              <w:left w:w="0" w:type="dxa"/>
              <w:bottom w:w="57" w:type="dxa"/>
              <w:right w:w="0" w:type="dxa"/>
            </w:tcMar>
          </w:tcPr>
          <w:p w14:paraId="313BAEE2"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information]</w:t>
            </w:r>
          </w:p>
        </w:tc>
      </w:tr>
      <w:tr w:rsidR="009F76CC" w:rsidRPr="009F76CC" w14:paraId="64BF756F"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6EFEFDC3"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SmallGap" w:sz="4" w:space="0" w:color="auto"/>
            </w:tcBorders>
            <w:tcMar>
              <w:top w:w="57" w:type="dxa"/>
              <w:left w:w="0" w:type="dxa"/>
              <w:bottom w:w="57" w:type="dxa"/>
              <w:right w:w="0" w:type="dxa"/>
            </w:tcMar>
          </w:tcPr>
          <w:p w14:paraId="475A0D5D" w14:textId="77777777" w:rsidR="009F76CC" w:rsidRPr="009F76CC" w:rsidRDefault="009F76CC" w:rsidP="0035109B">
            <w:pPr>
              <w:widowControl w:val="0"/>
              <w:rPr>
                <w:rFonts w:asciiTheme="minorHAnsi" w:hAnsiTheme="minorHAnsi" w:cstheme="minorHAnsi"/>
              </w:rPr>
            </w:pPr>
            <w:r w:rsidRPr="009F76CC">
              <w:rPr>
                <w:rFonts w:asciiTheme="minorHAnsi" w:hAnsiTheme="minorHAnsi" w:cstheme="minorHAnsi"/>
                <w:b/>
              </w:rPr>
              <w:t>[Where applicable]</w:t>
            </w:r>
            <w:r w:rsidRPr="009F76CC">
              <w:rPr>
                <w:rFonts w:asciiTheme="minorHAnsi" w:hAnsiTheme="minorHAnsi" w:cstheme="minorHAnsi"/>
              </w:rPr>
              <w:t xml:space="preserve"> Please confirm which lot(s) you wish to bid for?</w:t>
            </w:r>
          </w:p>
        </w:tc>
      </w:tr>
      <w:tr w:rsidR="009F76CC" w:rsidRPr="009F76CC" w14:paraId="5160A50A"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20091C8F" w14:textId="77777777" w:rsidR="009F76CC" w:rsidRPr="009F76CC" w:rsidRDefault="009F76CC" w:rsidP="0035109B">
            <w:pPr>
              <w:widowControl w:val="0"/>
              <w:rPr>
                <w:rFonts w:asciiTheme="minorHAnsi" w:hAnsiTheme="minorHAnsi" w:cstheme="minorHAnsi"/>
              </w:rPr>
            </w:pPr>
          </w:p>
        </w:tc>
        <w:tc>
          <w:tcPr>
            <w:tcW w:w="8448" w:type="dxa"/>
            <w:tcBorders>
              <w:top w:val="dashSmallGap" w:sz="4" w:space="0" w:color="auto"/>
              <w:bottom w:val="single" w:sz="4" w:space="0" w:color="auto"/>
            </w:tcBorders>
            <w:tcMar>
              <w:top w:w="57" w:type="dxa"/>
              <w:left w:w="0" w:type="dxa"/>
              <w:bottom w:w="57" w:type="dxa"/>
              <w:right w:w="0" w:type="dxa"/>
            </w:tcMar>
          </w:tcPr>
          <w:p w14:paraId="18996FBF"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details]</w:t>
            </w:r>
          </w:p>
        </w:tc>
      </w:tr>
      <w:tr w:rsidR="009F76CC" w:rsidRPr="009F76CC" w14:paraId="5B84AEAF"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03A84262"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69076398" w14:textId="77777777" w:rsidR="009F76CC" w:rsidRPr="009F76CC" w:rsidRDefault="009F76CC" w:rsidP="0035109B">
            <w:pPr>
              <w:widowControl w:val="0"/>
              <w:rPr>
                <w:rFonts w:asciiTheme="minorHAnsi" w:hAnsiTheme="minorHAnsi" w:cstheme="minorHAnsi"/>
              </w:rPr>
            </w:pPr>
            <w:r w:rsidRPr="009F76CC">
              <w:rPr>
                <w:rFonts w:asciiTheme="minorHAnsi" w:hAnsiTheme="minorHAnsi" w:cstheme="minorHAnsi"/>
              </w:rPr>
              <w:t>Are you on the debarment list?</w:t>
            </w:r>
          </w:p>
        </w:tc>
      </w:tr>
      <w:tr w:rsidR="009F76CC" w:rsidRPr="009F76CC" w14:paraId="73E08D61" w14:textId="77777777" w:rsidTr="001F2CCD">
        <w:trPr>
          <w:cantSplit/>
          <w:trHeight w:val="113"/>
        </w:trPr>
        <w:tc>
          <w:tcPr>
            <w:tcW w:w="650" w:type="dxa"/>
            <w:vMerge/>
            <w:tcMar>
              <w:top w:w="57" w:type="dxa"/>
              <w:left w:w="0" w:type="dxa"/>
              <w:bottom w:w="57" w:type="dxa"/>
              <w:right w:w="0" w:type="dxa"/>
            </w:tcMar>
          </w:tcPr>
          <w:p w14:paraId="0C2E6211"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tcBorders>
            <w:tcMar>
              <w:top w:w="57" w:type="dxa"/>
              <w:left w:w="0" w:type="dxa"/>
              <w:bottom w:w="57" w:type="dxa"/>
              <w:right w:w="0" w:type="dxa"/>
            </w:tcMar>
          </w:tcPr>
          <w:p w14:paraId="6A74EEA1"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Yes or No]</w:t>
            </w:r>
          </w:p>
          <w:p w14:paraId="22F38921"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[If yes, insert details]</w:t>
            </w:r>
          </w:p>
        </w:tc>
      </w:tr>
      <w:tr w:rsidR="009F76CC" w:rsidRPr="009F76CC" w14:paraId="7D97C05A" w14:textId="77777777" w:rsidTr="001F2CCD">
        <w:trPr>
          <w:cantSplit/>
          <w:trHeight w:val="113"/>
        </w:trPr>
        <w:tc>
          <w:tcPr>
            <w:tcW w:w="9098" w:type="dxa"/>
            <w:gridSpan w:val="2"/>
            <w:tcBorders>
              <w:bottom w:val="single" w:sz="4" w:space="0" w:color="auto"/>
            </w:tcBorders>
            <w:shd w:val="clear" w:color="auto" w:fill="F9CFE9" w:themeFill="text1" w:themeFillTint="33"/>
            <w:tcMar>
              <w:top w:w="57" w:type="dxa"/>
              <w:left w:w="0" w:type="dxa"/>
              <w:bottom w:w="57" w:type="dxa"/>
              <w:right w:w="0" w:type="dxa"/>
            </w:tcMar>
          </w:tcPr>
          <w:p w14:paraId="089CACA4" w14:textId="49AB9503" w:rsidR="009F76CC" w:rsidRPr="009F76CC" w:rsidRDefault="009F76CC" w:rsidP="001B3144">
            <w:pPr>
              <w:keepNext/>
              <w:keepLines/>
              <w:widowControl w:val="0"/>
              <w:rPr>
                <w:rFonts w:asciiTheme="minorHAnsi" w:hAnsiTheme="minorHAnsi" w:cstheme="minorHAnsi"/>
              </w:rPr>
            </w:pPr>
            <w:bookmarkStart w:id="17" w:name="_Toc183608005"/>
            <w:bookmarkStart w:id="18" w:name="_Toc185334275"/>
            <w:r w:rsidRPr="009F76CC">
              <w:rPr>
                <w:rFonts w:asciiTheme="minorHAnsi" w:hAnsiTheme="minorHAnsi" w:cstheme="minorHAnsi"/>
                <w:b/>
              </w:rPr>
              <w:lastRenderedPageBreak/>
              <w:t xml:space="preserve">Part 1 – confirmation of </w:t>
            </w:r>
            <w:r w:rsidR="00470907">
              <w:rPr>
                <w:rFonts w:asciiTheme="minorHAnsi" w:hAnsiTheme="minorHAnsi" w:cstheme="minorHAnsi"/>
                <w:b/>
              </w:rPr>
              <w:t>C</w:t>
            </w:r>
            <w:r w:rsidRPr="009F76CC">
              <w:rPr>
                <w:rFonts w:asciiTheme="minorHAnsi" w:hAnsiTheme="minorHAnsi" w:cstheme="minorHAnsi"/>
                <w:b/>
              </w:rPr>
              <w:t xml:space="preserve">ore </w:t>
            </w:r>
            <w:r w:rsidR="00470907">
              <w:rPr>
                <w:rFonts w:asciiTheme="minorHAnsi" w:hAnsiTheme="minorHAnsi" w:cstheme="minorHAnsi"/>
                <w:b/>
              </w:rPr>
              <w:t>S</w:t>
            </w:r>
            <w:r w:rsidRPr="009F76CC">
              <w:rPr>
                <w:rFonts w:asciiTheme="minorHAnsi" w:hAnsiTheme="minorHAnsi" w:cstheme="minorHAnsi"/>
                <w:b/>
              </w:rPr>
              <w:t xml:space="preserve">upplier </w:t>
            </w:r>
            <w:r w:rsidR="00470907">
              <w:rPr>
                <w:rFonts w:asciiTheme="minorHAnsi" w:hAnsiTheme="minorHAnsi" w:cstheme="minorHAnsi"/>
                <w:b/>
              </w:rPr>
              <w:t>I</w:t>
            </w:r>
            <w:r w:rsidRPr="009F76CC">
              <w:rPr>
                <w:rFonts w:asciiTheme="minorHAnsi" w:hAnsiTheme="minorHAnsi" w:cstheme="minorHAnsi"/>
                <w:b/>
              </w:rPr>
              <w:t>nformation</w:t>
            </w:r>
            <w:bookmarkEnd w:id="17"/>
            <w:bookmarkEnd w:id="18"/>
          </w:p>
        </w:tc>
      </w:tr>
      <w:tr w:rsidR="009F76CC" w:rsidRPr="009F76CC" w14:paraId="725F3AFB"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41BB466A"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488924F4" w14:textId="549268E2"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 xml:space="preserve">You must submit up-to-date </w:t>
            </w:r>
            <w:r w:rsidR="00470907">
              <w:rPr>
                <w:rFonts w:asciiTheme="minorHAnsi" w:hAnsiTheme="minorHAnsi" w:cstheme="minorHAnsi"/>
              </w:rPr>
              <w:t>C</w:t>
            </w:r>
            <w:r w:rsidRPr="009F76CC">
              <w:rPr>
                <w:rFonts w:asciiTheme="minorHAnsi" w:hAnsiTheme="minorHAnsi" w:cstheme="minorHAnsi"/>
              </w:rPr>
              <w:t xml:space="preserve">ore </w:t>
            </w:r>
            <w:r w:rsidR="00470907">
              <w:rPr>
                <w:rFonts w:asciiTheme="minorHAnsi" w:hAnsiTheme="minorHAnsi" w:cstheme="minorHAnsi"/>
              </w:rPr>
              <w:t>S</w:t>
            </w:r>
            <w:r w:rsidRPr="009F76CC">
              <w:rPr>
                <w:rFonts w:asciiTheme="minorHAnsi" w:hAnsiTheme="minorHAnsi" w:cstheme="minorHAnsi"/>
              </w:rPr>
              <w:t xml:space="preserve">upplier </w:t>
            </w:r>
            <w:r w:rsidR="00470907">
              <w:rPr>
                <w:rFonts w:asciiTheme="minorHAnsi" w:hAnsiTheme="minorHAnsi" w:cstheme="minorHAnsi"/>
              </w:rPr>
              <w:t>I</w:t>
            </w:r>
            <w:r w:rsidRPr="009F76CC">
              <w:rPr>
                <w:rFonts w:asciiTheme="minorHAnsi" w:hAnsiTheme="minorHAnsi" w:cstheme="minorHAnsi"/>
              </w:rPr>
              <w:t>nformation on the CDP and share this information with us via the CDP (either a share code or PDF download).</w:t>
            </w:r>
          </w:p>
          <w:p w14:paraId="505B7351" w14:textId="77777777"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This includes:</w:t>
            </w:r>
          </w:p>
          <w:p w14:paraId="5F63B9A0" w14:textId="77777777" w:rsidR="009F76CC" w:rsidRPr="009F76CC" w:rsidRDefault="009F76CC" w:rsidP="00AA0F4D">
            <w:pPr>
              <w:widowControl w:val="0"/>
              <w:numPr>
                <w:ilvl w:val="0"/>
                <w:numId w:val="46"/>
              </w:numPr>
              <w:adjustRightInd/>
              <w:spacing w:after="120"/>
              <w:rPr>
                <w:rFonts w:asciiTheme="minorHAnsi" w:hAnsiTheme="minorHAnsi" w:cstheme="minorHAnsi"/>
              </w:rPr>
            </w:pPr>
            <w:r w:rsidRPr="009F76CC">
              <w:rPr>
                <w:rFonts w:asciiTheme="minorHAnsi" w:hAnsiTheme="minorHAnsi" w:cstheme="minorHAnsi"/>
              </w:rPr>
              <w:t>basic information</w:t>
            </w:r>
          </w:p>
          <w:p w14:paraId="0FD508BE" w14:textId="77777777" w:rsidR="009F76CC" w:rsidRPr="009F76CC" w:rsidRDefault="009F76CC" w:rsidP="00AA0F4D">
            <w:pPr>
              <w:widowControl w:val="0"/>
              <w:numPr>
                <w:ilvl w:val="0"/>
                <w:numId w:val="46"/>
              </w:numPr>
              <w:adjustRightInd/>
              <w:spacing w:after="120"/>
              <w:rPr>
                <w:rFonts w:asciiTheme="minorHAnsi" w:hAnsiTheme="minorHAnsi" w:cstheme="minorHAnsi"/>
              </w:rPr>
            </w:pPr>
            <w:r w:rsidRPr="009F76CC">
              <w:rPr>
                <w:rFonts w:asciiTheme="minorHAnsi" w:hAnsiTheme="minorHAnsi" w:cstheme="minorHAnsi"/>
              </w:rPr>
              <w:t>economic and financial standing information</w:t>
            </w:r>
          </w:p>
          <w:p w14:paraId="7ABD1DC9" w14:textId="6F32BE6B" w:rsidR="009F76CC" w:rsidRPr="009F76CC" w:rsidRDefault="00470907" w:rsidP="00AA0F4D">
            <w:pPr>
              <w:widowControl w:val="0"/>
              <w:numPr>
                <w:ilvl w:val="0"/>
                <w:numId w:val="46"/>
              </w:numPr>
              <w:adjustRightInd/>
              <w:spacing w:after="120"/>
              <w:rPr>
                <w:rFonts w:asciiTheme="minorHAnsi" w:hAnsiTheme="minorHAnsi" w:cstheme="minorHAnsi"/>
              </w:rPr>
            </w:pPr>
            <w:r>
              <w:rPr>
                <w:rFonts w:asciiTheme="minorHAnsi" w:hAnsiTheme="minorHAnsi" w:cstheme="minorHAnsi"/>
              </w:rPr>
              <w:t>C</w:t>
            </w:r>
            <w:r w:rsidR="009F76CC" w:rsidRPr="009F76CC">
              <w:rPr>
                <w:rFonts w:asciiTheme="minorHAnsi" w:hAnsiTheme="minorHAnsi" w:cstheme="minorHAnsi"/>
              </w:rPr>
              <w:t xml:space="preserve">onnected person information (these are persons with the right to exercise, or who actually exercise, significant influence or control over the </w:t>
            </w:r>
            <w:r w:rsidR="00205BE8">
              <w:rPr>
                <w:rFonts w:asciiTheme="minorHAnsi" w:hAnsiTheme="minorHAnsi" w:cstheme="minorHAnsi"/>
              </w:rPr>
              <w:t>S</w:t>
            </w:r>
            <w:r w:rsidR="009F76CC" w:rsidRPr="009F76CC">
              <w:rPr>
                <w:rFonts w:asciiTheme="minorHAnsi" w:hAnsiTheme="minorHAnsi" w:cstheme="minorHAnsi"/>
              </w:rPr>
              <w:t xml:space="preserve">upplier, or over whom the </w:t>
            </w:r>
            <w:r w:rsidR="00205BE8">
              <w:rPr>
                <w:rFonts w:asciiTheme="minorHAnsi" w:hAnsiTheme="minorHAnsi" w:cstheme="minorHAnsi"/>
              </w:rPr>
              <w:t>S</w:t>
            </w:r>
            <w:r w:rsidR="009F76CC" w:rsidRPr="009F76CC">
              <w:rPr>
                <w:rFonts w:asciiTheme="minorHAnsi" w:hAnsiTheme="minorHAnsi" w:cstheme="minorHAnsi"/>
              </w:rPr>
              <w:t>upplier has the right to exercise, or actually exercises, significant influence or control over, for example: directors, majority shareholders and parent and subsidiary companies)</w:t>
            </w:r>
          </w:p>
          <w:p w14:paraId="442CB423" w14:textId="77777777" w:rsidR="009F76CC" w:rsidRPr="009F76CC" w:rsidRDefault="009F76CC" w:rsidP="00AA0F4D">
            <w:pPr>
              <w:widowControl w:val="0"/>
              <w:numPr>
                <w:ilvl w:val="0"/>
                <w:numId w:val="46"/>
              </w:numPr>
              <w:adjustRightInd/>
              <w:spacing w:after="120"/>
              <w:rPr>
                <w:rFonts w:asciiTheme="minorHAnsi" w:hAnsiTheme="minorHAnsi" w:cstheme="minorHAnsi"/>
              </w:rPr>
            </w:pPr>
            <w:r w:rsidRPr="009F76CC">
              <w:rPr>
                <w:rFonts w:asciiTheme="minorHAnsi" w:hAnsiTheme="minorHAnsi" w:cstheme="minorHAnsi"/>
              </w:rPr>
              <w:t>exclusion grounds information</w:t>
            </w:r>
          </w:p>
          <w:p w14:paraId="02076FF8" w14:textId="77777777" w:rsidR="009F76CC" w:rsidRPr="009F76CC" w:rsidRDefault="009F76CC" w:rsidP="0035109B">
            <w:pPr>
              <w:widowControl w:val="0"/>
              <w:rPr>
                <w:rFonts w:asciiTheme="minorHAnsi" w:hAnsiTheme="minorHAnsi" w:cstheme="minorHAnsi"/>
              </w:rPr>
            </w:pPr>
            <w:r w:rsidRPr="009F76CC">
              <w:rPr>
                <w:rFonts w:asciiTheme="minorHAnsi" w:hAnsiTheme="minorHAnsi" w:cstheme="minorHAnsi"/>
              </w:rPr>
              <w:t>Please confirm you have shared this information with us.</w:t>
            </w:r>
          </w:p>
        </w:tc>
      </w:tr>
      <w:tr w:rsidR="009F76CC" w:rsidRPr="009F76CC" w14:paraId="1E3342F0" w14:textId="77777777" w:rsidTr="001F2CCD">
        <w:trPr>
          <w:cantSplit/>
          <w:trHeight w:val="113"/>
        </w:trPr>
        <w:tc>
          <w:tcPr>
            <w:tcW w:w="650" w:type="dxa"/>
            <w:vMerge/>
            <w:tcBorders>
              <w:bottom w:val="single" w:sz="4" w:space="0" w:color="000000"/>
            </w:tcBorders>
            <w:tcMar>
              <w:top w:w="57" w:type="dxa"/>
              <w:left w:w="0" w:type="dxa"/>
              <w:bottom w:w="57" w:type="dxa"/>
              <w:right w:w="0" w:type="dxa"/>
            </w:tcMar>
          </w:tcPr>
          <w:p w14:paraId="4A66B0BD"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bottom w:val="single" w:sz="4" w:space="0" w:color="000000"/>
            </w:tcBorders>
            <w:tcMar>
              <w:top w:w="57" w:type="dxa"/>
              <w:left w:w="0" w:type="dxa"/>
              <w:bottom w:w="57" w:type="dxa"/>
              <w:right w:w="0" w:type="dxa"/>
            </w:tcMar>
          </w:tcPr>
          <w:p w14:paraId="60970F4F"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reference / file name]</w:t>
            </w:r>
          </w:p>
        </w:tc>
      </w:tr>
      <w:tr w:rsidR="009F76CC" w:rsidRPr="009F76CC" w14:paraId="006DA66B" w14:textId="77777777" w:rsidTr="001F2CCD">
        <w:trPr>
          <w:cantSplit/>
          <w:trHeight w:val="113"/>
        </w:trPr>
        <w:tc>
          <w:tcPr>
            <w:tcW w:w="9098" w:type="dxa"/>
            <w:gridSpan w:val="2"/>
            <w:shd w:val="clear" w:color="auto" w:fill="F9CFE9" w:themeFill="text1" w:themeFillTint="33"/>
            <w:tcMar>
              <w:top w:w="57" w:type="dxa"/>
              <w:left w:w="0" w:type="dxa"/>
              <w:bottom w:w="57" w:type="dxa"/>
              <w:right w:w="0" w:type="dxa"/>
            </w:tcMar>
          </w:tcPr>
          <w:p w14:paraId="2F9BA09E" w14:textId="08BFF8E6" w:rsidR="009F76CC" w:rsidRPr="009F76CC" w:rsidRDefault="009F76CC" w:rsidP="001B3144">
            <w:pPr>
              <w:keepNext/>
              <w:keepLines/>
              <w:widowControl w:val="0"/>
              <w:rPr>
                <w:rFonts w:asciiTheme="minorHAnsi" w:hAnsiTheme="minorHAnsi" w:cstheme="minorHAnsi"/>
              </w:rPr>
            </w:pPr>
            <w:bookmarkStart w:id="19" w:name="_Toc183608006"/>
            <w:bookmarkStart w:id="20" w:name="_Toc185334276"/>
            <w:r w:rsidRPr="009F76CC">
              <w:rPr>
                <w:rFonts w:asciiTheme="minorHAnsi" w:hAnsiTheme="minorHAnsi" w:cstheme="minorHAnsi"/>
                <w:b/>
              </w:rPr>
              <w:t xml:space="preserve">Part 2 – </w:t>
            </w:r>
            <w:r w:rsidR="00470907">
              <w:rPr>
                <w:rFonts w:asciiTheme="minorHAnsi" w:hAnsiTheme="minorHAnsi" w:cstheme="minorHAnsi"/>
                <w:b/>
              </w:rPr>
              <w:t>A</w:t>
            </w:r>
            <w:r w:rsidRPr="009F76CC">
              <w:rPr>
                <w:rFonts w:asciiTheme="minorHAnsi" w:hAnsiTheme="minorHAnsi" w:cstheme="minorHAnsi"/>
                <w:b/>
              </w:rPr>
              <w:t>dditional exclusions information</w:t>
            </w:r>
            <w:bookmarkEnd w:id="19"/>
            <w:bookmarkEnd w:id="20"/>
            <w:r w:rsidRPr="009F76CC">
              <w:rPr>
                <w:rFonts w:asciiTheme="minorHAnsi" w:hAnsiTheme="minorHAnsi" w:cstheme="minorHAnsi"/>
                <w:b/>
              </w:rPr>
              <w:t xml:space="preserve"> </w:t>
            </w:r>
          </w:p>
        </w:tc>
      </w:tr>
      <w:tr w:rsidR="009F76CC" w:rsidRPr="009F76CC" w14:paraId="5AE157F9" w14:textId="77777777" w:rsidTr="001F2CCD">
        <w:trPr>
          <w:cantSplit/>
          <w:trHeight w:val="113"/>
        </w:trPr>
        <w:tc>
          <w:tcPr>
            <w:tcW w:w="9098" w:type="dxa"/>
            <w:gridSpan w:val="2"/>
            <w:shd w:val="clear" w:color="auto" w:fill="F9CFE9" w:themeFill="text1" w:themeFillTint="33"/>
            <w:tcMar>
              <w:top w:w="57" w:type="dxa"/>
              <w:left w:w="0" w:type="dxa"/>
              <w:bottom w:w="57" w:type="dxa"/>
              <w:right w:w="0" w:type="dxa"/>
            </w:tcMar>
          </w:tcPr>
          <w:p w14:paraId="09960242" w14:textId="48B39BD2" w:rsidR="009F76CC" w:rsidRPr="009F76CC" w:rsidRDefault="009F76CC" w:rsidP="0035109B">
            <w:pPr>
              <w:keepNext/>
              <w:keepLines/>
              <w:widowControl w:val="0"/>
              <w:outlineLvl w:val="3"/>
              <w:rPr>
                <w:rFonts w:asciiTheme="minorHAnsi" w:hAnsiTheme="minorHAnsi" w:cstheme="minorHAnsi"/>
                <w:color w:val="000000"/>
              </w:rPr>
            </w:pPr>
            <w:bookmarkStart w:id="21" w:name="_Toc183608007"/>
            <w:r w:rsidRPr="009F76CC">
              <w:rPr>
                <w:rFonts w:asciiTheme="minorHAnsi" w:hAnsiTheme="minorHAnsi" w:cstheme="minorHAnsi"/>
                <w:b/>
                <w:color w:val="000000"/>
              </w:rPr>
              <w:t xml:space="preserve">Part 2A – </w:t>
            </w:r>
            <w:r w:rsidR="00470907">
              <w:rPr>
                <w:rFonts w:asciiTheme="minorHAnsi" w:hAnsiTheme="minorHAnsi" w:cstheme="minorHAnsi"/>
                <w:b/>
                <w:color w:val="000000"/>
              </w:rPr>
              <w:t>A</w:t>
            </w:r>
            <w:r w:rsidRPr="009F76CC">
              <w:rPr>
                <w:rFonts w:asciiTheme="minorHAnsi" w:hAnsiTheme="minorHAnsi" w:cstheme="minorHAnsi"/>
                <w:b/>
                <w:color w:val="000000"/>
              </w:rPr>
              <w:t xml:space="preserve">ssociated </w:t>
            </w:r>
            <w:r w:rsidR="00470907">
              <w:rPr>
                <w:rFonts w:asciiTheme="minorHAnsi" w:hAnsiTheme="minorHAnsi" w:cstheme="minorHAnsi"/>
                <w:b/>
                <w:color w:val="000000"/>
              </w:rPr>
              <w:t>P</w:t>
            </w:r>
            <w:r w:rsidRPr="009F76CC">
              <w:rPr>
                <w:rFonts w:asciiTheme="minorHAnsi" w:hAnsiTheme="minorHAnsi" w:cstheme="minorHAnsi"/>
                <w:b/>
                <w:color w:val="000000"/>
              </w:rPr>
              <w:t>ersons</w:t>
            </w:r>
            <w:bookmarkEnd w:id="21"/>
          </w:p>
        </w:tc>
      </w:tr>
      <w:tr w:rsidR="009F76CC" w:rsidRPr="009F76CC" w14:paraId="1E7595A6" w14:textId="77777777" w:rsidTr="001F2CCD">
        <w:trPr>
          <w:cantSplit/>
          <w:trHeight w:val="113"/>
        </w:trPr>
        <w:tc>
          <w:tcPr>
            <w:tcW w:w="650" w:type="dxa"/>
            <w:vMerge w:val="restart"/>
            <w:tcMar>
              <w:top w:w="57" w:type="dxa"/>
              <w:left w:w="0" w:type="dxa"/>
              <w:bottom w:w="57" w:type="dxa"/>
              <w:right w:w="0" w:type="dxa"/>
            </w:tcMar>
          </w:tcPr>
          <w:p w14:paraId="11F8C111"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bottom w:val="dashed" w:sz="4" w:space="0" w:color="auto"/>
            </w:tcBorders>
            <w:tcMar>
              <w:top w:w="57" w:type="dxa"/>
              <w:left w:w="0" w:type="dxa"/>
              <w:bottom w:w="57" w:type="dxa"/>
              <w:right w:w="0" w:type="dxa"/>
            </w:tcMar>
          </w:tcPr>
          <w:p w14:paraId="0F135DA1" w14:textId="277C933C"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 xml:space="preserve">Are you relying on any </w:t>
            </w:r>
            <w:r w:rsidR="00470907">
              <w:rPr>
                <w:rFonts w:asciiTheme="minorHAnsi" w:hAnsiTheme="minorHAnsi" w:cstheme="minorHAnsi"/>
              </w:rPr>
              <w:t>A</w:t>
            </w:r>
            <w:r w:rsidRPr="009F76CC">
              <w:rPr>
                <w:rFonts w:asciiTheme="minorHAnsi" w:hAnsiTheme="minorHAnsi" w:cstheme="minorHAnsi"/>
              </w:rPr>
              <w:t xml:space="preserve">ssociated </w:t>
            </w:r>
            <w:r w:rsidR="00470907">
              <w:rPr>
                <w:rFonts w:asciiTheme="minorHAnsi" w:hAnsiTheme="minorHAnsi" w:cstheme="minorHAnsi"/>
              </w:rPr>
              <w:t>P</w:t>
            </w:r>
            <w:r w:rsidRPr="009F76CC">
              <w:rPr>
                <w:rFonts w:asciiTheme="minorHAnsi" w:hAnsiTheme="minorHAnsi" w:cstheme="minorHAnsi"/>
              </w:rPr>
              <w:t xml:space="preserve">ersons to satisfy the </w:t>
            </w:r>
            <w:r w:rsidR="00470907">
              <w:rPr>
                <w:rFonts w:asciiTheme="minorHAnsi" w:hAnsiTheme="minorHAnsi" w:cstheme="minorHAnsi"/>
              </w:rPr>
              <w:t>C</w:t>
            </w:r>
            <w:r w:rsidRPr="009F76CC">
              <w:rPr>
                <w:rFonts w:asciiTheme="minorHAnsi" w:hAnsiTheme="minorHAnsi" w:cstheme="minorHAnsi"/>
              </w:rPr>
              <w:t xml:space="preserve">onditions of </w:t>
            </w:r>
            <w:r w:rsidR="00470907">
              <w:rPr>
                <w:rFonts w:asciiTheme="minorHAnsi" w:hAnsiTheme="minorHAnsi" w:cstheme="minorHAnsi"/>
              </w:rPr>
              <w:t>P</w:t>
            </w:r>
            <w:r w:rsidRPr="009F76CC">
              <w:rPr>
                <w:rFonts w:asciiTheme="minorHAnsi" w:hAnsiTheme="minorHAnsi" w:cstheme="minorHAnsi"/>
              </w:rPr>
              <w:t xml:space="preserve">articipation? (these are other </w:t>
            </w:r>
            <w:r w:rsidR="00205BE8">
              <w:rPr>
                <w:rFonts w:asciiTheme="minorHAnsi" w:hAnsiTheme="minorHAnsi" w:cstheme="minorHAnsi"/>
              </w:rPr>
              <w:t>S</w:t>
            </w:r>
            <w:r w:rsidRPr="009F76CC">
              <w:rPr>
                <w:rFonts w:asciiTheme="minorHAnsi" w:hAnsiTheme="minorHAnsi" w:cstheme="minorHAnsi"/>
              </w:rPr>
              <w:t>uppliers who might be sub-contractors or consortium members but not a guarantor).</w:t>
            </w:r>
          </w:p>
          <w:p w14:paraId="74FBA2A8" w14:textId="27EF0796"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 xml:space="preserve">The </w:t>
            </w:r>
            <w:r w:rsidR="00470907">
              <w:rPr>
                <w:rFonts w:asciiTheme="minorHAnsi" w:hAnsiTheme="minorHAnsi" w:cstheme="minorHAnsi"/>
              </w:rPr>
              <w:t>C</w:t>
            </w:r>
            <w:r w:rsidRPr="009F76CC">
              <w:rPr>
                <w:rFonts w:asciiTheme="minorHAnsi" w:hAnsiTheme="minorHAnsi" w:cstheme="minorHAnsi"/>
              </w:rPr>
              <w:t xml:space="preserve">onditions of </w:t>
            </w:r>
            <w:r w:rsidR="00470907">
              <w:rPr>
                <w:rFonts w:asciiTheme="minorHAnsi" w:hAnsiTheme="minorHAnsi" w:cstheme="minorHAnsi"/>
              </w:rPr>
              <w:t>P</w:t>
            </w:r>
            <w:r w:rsidRPr="009F76CC">
              <w:rPr>
                <w:rFonts w:asciiTheme="minorHAnsi" w:hAnsiTheme="minorHAnsi" w:cstheme="minorHAnsi"/>
              </w:rPr>
              <w:t>articipation are outlined in Part 3</w:t>
            </w:r>
            <w:r w:rsidR="005E7676">
              <w:rPr>
                <w:rFonts w:asciiTheme="minorHAnsi" w:hAnsiTheme="minorHAnsi" w:cstheme="minorHAnsi"/>
              </w:rPr>
              <w:t>.</w:t>
            </w:r>
          </w:p>
          <w:p w14:paraId="749BF792" w14:textId="77777777" w:rsidR="009F76CC" w:rsidRPr="009F76CC" w:rsidRDefault="009F76CC" w:rsidP="0035109B">
            <w:pPr>
              <w:widowControl w:val="0"/>
              <w:rPr>
                <w:rFonts w:asciiTheme="minorHAnsi" w:hAnsiTheme="minorHAnsi" w:cstheme="minorHAnsi"/>
              </w:rPr>
            </w:pPr>
            <w:r w:rsidRPr="009F76CC">
              <w:rPr>
                <w:rFonts w:asciiTheme="minorHAnsi" w:hAnsiTheme="minorHAnsi" w:cstheme="minorHAnsi"/>
              </w:rPr>
              <w:t xml:space="preserve">If so, please </w:t>
            </w:r>
            <w:r w:rsidRPr="005E7676">
              <w:rPr>
                <w:rFonts w:asciiTheme="minorHAnsi" w:hAnsiTheme="minorHAnsi" w:cstheme="minorHAnsi"/>
              </w:rPr>
              <w:t xml:space="preserve">complete </w:t>
            </w:r>
            <w:r w:rsidRPr="00F145E2">
              <w:rPr>
                <w:rFonts w:asciiTheme="minorHAnsi" w:hAnsiTheme="minorHAnsi" w:cstheme="minorHAnsi"/>
                <w:b/>
                <w:bCs/>
              </w:rPr>
              <w:t>Q8, Q9 &amp; Q10</w:t>
            </w:r>
            <w:r w:rsidRPr="005E7676">
              <w:rPr>
                <w:rFonts w:asciiTheme="minorHAnsi" w:hAnsiTheme="minorHAnsi" w:cstheme="minorHAnsi"/>
              </w:rPr>
              <w:t xml:space="preserve"> (otherwise </w:t>
            </w:r>
            <w:r w:rsidRPr="00F145E2">
              <w:rPr>
                <w:rFonts w:asciiTheme="minorHAnsi" w:hAnsiTheme="minorHAnsi" w:cstheme="minorHAnsi"/>
                <w:b/>
                <w:bCs/>
              </w:rPr>
              <w:t>Q8, Q9 &amp; Q10</w:t>
            </w:r>
            <w:r w:rsidRPr="005E7676">
              <w:rPr>
                <w:rFonts w:asciiTheme="minorHAnsi" w:hAnsiTheme="minorHAnsi" w:cstheme="minorHAnsi"/>
              </w:rPr>
              <w:t xml:space="preserve"> are</w:t>
            </w:r>
            <w:r w:rsidRPr="009F76CC">
              <w:rPr>
                <w:rFonts w:asciiTheme="minorHAnsi" w:hAnsiTheme="minorHAnsi" w:cstheme="minorHAnsi"/>
              </w:rPr>
              <w:t xml:space="preserve"> not applicable).</w:t>
            </w:r>
          </w:p>
        </w:tc>
      </w:tr>
      <w:tr w:rsidR="009F76CC" w:rsidRPr="009F76CC" w14:paraId="4BAE90DC"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1FFAD3A7"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bottom w:val="single" w:sz="4" w:space="0" w:color="auto"/>
            </w:tcBorders>
            <w:tcMar>
              <w:top w:w="57" w:type="dxa"/>
              <w:left w:w="0" w:type="dxa"/>
              <w:bottom w:w="57" w:type="dxa"/>
              <w:right w:w="0" w:type="dxa"/>
            </w:tcMar>
          </w:tcPr>
          <w:p w14:paraId="7496790B"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Yes or No]</w:t>
            </w:r>
          </w:p>
        </w:tc>
      </w:tr>
      <w:tr w:rsidR="009F76CC" w:rsidRPr="009F76CC" w14:paraId="30024982"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02F81720"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029BD9E1" w14:textId="40201063" w:rsidR="009F76CC" w:rsidRPr="009F76CC" w:rsidRDefault="009F76CC" w:rsidP="0035109B">
            <w:pPr>
              <w:widowControl w:val="0"/>
              <w:rPr>
                <w:rFonts w:asciiTheme="minorHAnsi" w:hAnsiTheme="minorHAnsi" w:cstheme="minorHAnsi"/>
                <w:i/>
              </w:rPr>
            </w:pPr>
            <w:r w:rsidRPr="009F76CC">
              <w:rPr>
                <w:rFonts w:asciiTheme="minorHAnsi" w:hAnsiTheme="minorHAnsi" w:cstheme="minorHAnsi"/>
              </w:rPr>
              <w:t xml:space="preserve">For each </w:t>
            </w:r>
            <w:r w:rsidR="00205BE8">
              <w:rPr>
                <w:rFonts w:asciiTheme="minorHAnsi" w:hAnsiTheme="minorHAnsi" w:cstheme="minorHAnsi"/>
              </w:rPr>
              <w:t>S</w:t>
            </w:r>
            <w:r w:rsidRPr="009F76CC">
              <w:rPr>
                <w:rFonts w:asciiTheme="minorHAnsi" w:hAnsiTheme="minorHAnsi" w:cstheme="minorHAnsi"/>
              </w:rPr>
              <w:t>upplier/</w:t>
            </w:r>
            <w:r w:rsidR="00470907">
              <w:rPr>
                <w:rFonts w:asciiTheme="minorHAnsi" w:hAnsiTheme="minorHAnsi" w:cstheme="minorHAnsi"/>
              </w:rPr>
              <w:t>A</w:t>
            </w:r>
            <w:r w:rsidRPr="009F76CC">
              <w:rPr>
                <w:rFonts w:asciiTheme="minorHAnsi" w:hAnsiTheme="minorHAnsi" w:cstheme="minorHAnsi"/>
              </w:rPr>
              <w:t xml:space="preserve">ssociated </w:t>
            </w:r>
            <w:r w:rsidR="00470907">
              <w:rPr>
                <w:rFonts w:asciiTheme="minorHAnsi" w:hAnsiTheme="minorHAnsi" w:cstheme="minorHAnsi"/>
              </w:rPr>
              <w:t>P</w:t>
            </w:r>
            <w:r w:rsidRPr="009F76CC">
              <w:rPr>
                <w:rFonts w:asciiTheme="minorHAnsi" w:hAnsiTheme="minorHAnsi" w:cstheme="minorHAnsi"/>
              </w:rPr>
              <w:t>erson, please confirm which condition(s) of participation you are relying on them to satisfy.</w:t>
            </w:r>
          </w:p>
        </w:tc>
      </w:tr>
      <w:tr w:rsidR="009F76CC" w:rsidRPr="009F76CC" w14:paraId="31EB63BD"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62CAD69D" w14:textId="77777777" w:rsidR="009F76CC" w:rsidRPr="009F76CC" w:rsidRDefault="009F76CC" w:rsidP="0035109B">
            <w:pPr>
              <w:widowControl w:val="0"/>
              <w:rPr>
                <w:rFonts w:asciiTheme="minorHAnsi" w:hAnsiTheme="minorHAnsi" w:cstheme="minorHAnsi"/>
                <w:i/>
              </w:rPr>
            </w:pPr>
          </w:p>
        </w:tc>
        <w:tc>
          <w:tcPr>
            <w:tcW w:w="8448" w:type="dxa"/>
            <w:tcBorders>
              <w:top w:val="dashed" w:sz="4" w:space="0" w:color="auto"/>
              <w:bottom w:val="single" w:sz="4" w:space="0" w:color="auto"/>
            </w:tcBorders>
            <w:tcMar>
              <w:top w:w="57" w:type="dxa"/>
              <w:left w:w="0" w:type="dxa"/>
              <w:bottom w:w="57" w:type="dxa"/>
              <w:right w:w="0" w:type="dxa"/>
            </w:tcMar>
          </w:tcPr>
          <w:p w14:paraId="1A9827CB" w14:textId="292179BD"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 xml:space="preserve">[Insert name of </w:t>
            </w:r>
            <w:r w:rsidR="00205BE8">
              <w:rPr>
                <w:rFonts w:asciiTheme="minorHAnsi" w:hAnsiTheme="minorHAnsi" w:cstheme="minorHAnsi"/>
                <w:b/>
              </w:rPr>
              <w:t>S</w:t>
            </w:r>
            <w:r w:rsidRPr="009F76CC">
              <w:rPr>
                <w:rFonts w:asciiTheme="minorHAnsi" w:hAnsiTheme="minorHAnsi" w:cstheme="minorHAnsi"/>
                <w:b/>
              </w:rPr>
              <w:t>upplier and brief description]</w:t>
            </w:r>
          </w:p>
          <w:p w14:paraId="5A3B59A8" w14:textId="0447FDFD"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 xml:space="preserve">[Insert name of </w:t>
            </w:r>
            <w:r w:rsidR="00205BE8">
              <w:rPr>
                <w:rFonts w:asciiTheme="minorHAnsi" w:hAnsiTheme="minorHAnsi" w:cstheme="minorHAnsi"/>
                <w:b/>
              </w:rPr>
              <w:t>S</w:t>
            </w:r>
            <w:r w:rsidRPr="009F76CC">
              <w:rPr>
                <w:rFonts w:asciiTheme="minorHAnsi" w:hAnsiTheme="minorHAnsi" w:cstheme="minorHAnsi"/>
                <w:b/>
              </w:rPr>
              <w:t>upplier and brief description]</w:t>
            </w:r>
          </w:p>
        </w:tc>
      </w:tr>
      <w:tr w:rsidR="009F76CC" w:rsidRPr="009F76CC" w14:paraId="06D2C4D5"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2E5E1E1B"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6BB5C07B" w14:textId="43524A33"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 xml:space="preserve">For each </w:t>
            </w:r>
            <w:r w:rsidR="00470907">
              <w:rPr>
                <w:rFonts w:asciiTheme="minorHAnsi" w:hAnsiTheme="minorHAnsi" w:cstheme="minorHAnsi"/>
              </w:rPr>
              <w:t>A</w:t>
            </w:r>
            <w:r w:rsidRPr="009F76CC">
              <w:rPr>
                <w:rFonts w:asciiTheme="minorHAnsi" w:hAnsiTheme="minorHAnsi" w:cstheme="minorHAnsi"/>
              </w:rPr>
              <w:t xml:space="preserve">ssociated </w:t>
            </w:r>
            <w:r w:rsidR="00470907">
              <w:rPr>
                <w:rFonts w:asciiTheme="minorHAnsi" w:hAnsiTheme="minorHAnsi" w:cstheme="minorHAnsi"/>
              </w:rPr>
              <w:t>P</w:t>
            </w:r>
            <w:r w:rsidRPr="009F76CC">
              <w:rPr>
                <w:rFonts w:asciiTheme="minorHAnsi" w:hAnsiTheme="minorHAnsi" w:cstheme="minorHAnsi"/>
              </w:rPr>
              <w:t>erson, you must confirm they are registered on the CDP and have shared with us their information (either a share code or PDF download):</w:t>
            </w:r>
          </w:p>
          <w:p w14:paraId="36A6243F" w14:textId="77777777" w:rsidR="009F76CC" w:rsidRPr="009F76CC" w:rsidRDefault="009F76CC" w:rsidP="00AA0F4D">
            <w:pPr>
              <w:widowControl w:val="0"/>
              <w:numPr>
                <w:ilvl w:val="0"/>
                <w:numId w:val="47"/>
              </w:numPr>
              <w:adjustRightInd/>
              <w:spacing w:after="120"/>
              <w:rPr>
                <w:rFonts w:asciiTheme="minorHAnsi" w:hAnsiTheme="minorHAnsi" w:cstheme="minorHAnsi"/>
              </w:rPr>
            </w:pPr>
            <w:r w:rsidRPr="009F76CC">
              <w:rPr>
                <w:rFonts w:asciiTheme="minorHAnsi" w:hAnsiTheme="minorHAnsi" w:cstheme="minorHAnsi"/>
              </w:rPr>
              <w:t>basic information</w:t>
            </w:r>
          </w:p>
          <w:p w14:paraId="1EC95E94" w14:textId="4EE3634B" w:rsidR="009F76CC" w:rsidRPr="009F76CC" w:rsidRDefault="009F76CC" w:rsidP="00AA0F4D">
            <w:pPr>
              <w:widowControl w:val="0"/>
              <w:numPr>
                <w:ilvl w:val="0"/>
                <w:numId w:val="47"/>
              </w:numPr>
              <w:adjustRightInd/>
              <w:spacing w:after="120"/>
              <w:rPr>
                <w:rFonts w:asciiTheme="minorHAnsi" w:hAnsiTheme="minorHAnsi" w:cstheme="minorHAnsi"/>
              </w:rPr>
            </w:pPr>
            <w:r w:rsidRPr="009F76CC">
              <w:rPr>
                <w:rFonts w:asciiTheme="minorHAnsi" w:hAnsiTheme="minorHAnsi" w:cstheme="minorHAnsi"/>
              </w:rPr>
              <w:t xml:space="preserve">economic and financial standing information </w:t>
            </w:r>
            <w:r w:rsidRPr="009F76CC">
              <w:rPr>
                <w:rFonts w:asciiTheme="minorHAnsi" w:hAnsiTheme="minorHAnsi" w:cstheme="minorHAnsi"/>
              </w:rPr>
              <w:br/>
            </w:r>
            <w:r w:rsidRPr="009F76CC">
              <w:rPr>
                <w:rFonts w:asciiTheme="minorHAnsi" w:hAnsiTheme="minorHAnsi" w:cstheme="minorHAnsi"/>
                <w:color w:val="000000"/>
              </w:rPr>
              <w:t xml:space="preserve">(if they are being relied upon to meet </w:t>
            </w:r>
            <w:r w:rsidR="00470907">
              <w:rPr>
                <w:rFonts w:asciiTheme="minorHAnsi" w:hAnsiTheme="minorHAnsi" w:cstheme="minorHAnsi"/>
                <w:color w:val="000000"/>
              </w:rPr>
              <w:t>C</w:t>
            </w:r>
            <w:r w:rsidRPr="009F76CC">
              <w:rPr>
                <w:rFonts w:asciiTheme="minorHAnsi" w:hAnsiTheme="minorHAnsi" w:cstheme="minorHAnsi"/>
                <w:color w:val="000000"/>
              </w:rPr>
              <w:t xml:space="preserve">onditions of </w:t>
            </w:r>
            <w:r w:rsidR="00470907">
              <w:rPr>
                <w:rFonts w:asciiTheme="minorHAnsi" w:hAnsiTheme="minorHAnsi" w:cstheme="minorHAnsi"/>
                <w:color w:val="000000"/>
              </w:rPr>
              <w:t>P</w:t>
            </w:r>
            <w:r w:rsidRPr="009F76CC">
              <w:rPr>
                <w:rFonts w:asciiTheme="minorHAnsi" w:hAnsiTheme="minorHAnsi" w:cstheme="minorHAnsi"/>
                <w:color w:val="000000"/>
              </w:rPr>
              <w:t>articipation regarding financial capacity)</w:t>
            </w:r>
          </w:p>
          <w:p w14:paraId="2E3E1781" w14:textId="046516DB" w:rsidR="009F76CC" w:rsidRPr="009F76CC" w:rsidRDefault="00470907" w:rsidP="00AA0F4D">
            <w:pPr>
              <w:widowControl w:val="0"/>
              <w:numPr>
                <w:ilvl w:val="0"/>
                <w:numId w:val="47"/>
              </w:numPr>
              <w:adjustRightInd/>
              <w:spacing w:after="120"/>
              <w:rPr>
                <w:rFonts w:asciiTheme="minorHAnsi" w:hAnsiTheme="minorHAnsi" w:cstheme="minorHAnsi"/>
              </w:rPr>
            </w:pPr>
            <w:r>
              <w:rPr>
                <w:rFonts w:asciiTheme="minorHAnsi" w:hAnsiTheme="minorHAnsi" w:cstheme="minorHAnsi"/>
              </w:rPr>
              <w:t>C</w:t>
            </w:r>
            <w:r w:rsidR="009F76CC" w:rsidRPr="009F76CC">
              <w:rPr>
                <w:rFonts w:asciiTheme="minorHAnsi" w:hAnsiTheme="minorHAnsi" w:cstheme="minorHAnsi"/>
              </w:rPr>
              <w:t>onnected person information</w:t>
            </w:r>
          </w:p>
          <w:p w14:paraId="1F186B22" w14:textId="77777777" w:rsidR="009F76CC" w:rsidRPr="009F76CC" w:rsidRDefault="009F76CC" w:rsidP="00AA0F4D">
            <w:pPr>
              <w:widowControl w:val="0"/>
              <w:numPr>
                <w:ilvl w:val="0"/>
                <w:numId w:val="47"/>
              </w:numPr>
              <w:adjustRightInd/>
              <w:rPr>
                <w:rFonts w:asciiTheme="minorHAnsi" w:hAnsiTheme="minorHAnsi" w:cstheme="minorHAnsi"/>
              </w:rPr>
            </w:pPr>
            <w:r w:rsidRPr="009F76CC">
              <w:rPr>
                <w:rFonts w:asciiTheme="minorHAnsi" w:hAnsiTheme="minorHAnsi" w:cstheme="minorHAnsi"/>
              </w:rPr>
              <w:t>exclusion grounds information</w:t>
            </w:r>
          </w:p>
        </w:tc>
      </w:tr>
      <w:tr w:rsidR="009F76CC" w:rsidRPr="009F76CC" w14:paraId="42ECE81A"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5ED5CBCF"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bottom w:val="single" w:sz="4" w:space="0" w:color="auto"/>
            </w:tcBorders>
            <w:tcMar>
              <w:top w:w="57" w:type="dxa"/>
              <w:left w:w="0" w:type="dxa"/>
              <w:bottom w:w="57" w:type="dxa"/>
              <w:right w:w="0" w:type="dxa"/>
            </w:tcMar>
          </w:tcPr>
          <w:p w14:paraId="4AF8B963" w14:textId="352A8489"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 xml:space="preserve">[Insert name of </w:t>
            </w:r>
            <w:r w:rsidR="00470907">
              <w:rPr>
                <w:rFonts w:asciiTheme="minorHAnsi" w:hAnsiTheme="minorHAnsi" w:cstheme="minorHAnsi"/>
                <w:b/>
              </w:rPr>
              <w:t>S</w:t>
            </w:r>
            <w:r w:rsidRPr="009F76CC">
              <w:rPr>
                <w:rFonts w:asciiTheme="minorHAnsi" w:hAnsiTheme="minorHAnsi" w:cstheme="minorHAnsi"/>
                <w:b/>
              </w:rPr>
              <w:t>upplier and reference / file name]</w:t>
            </w:r>
          </w:p>
        </w:tc>
      </w:tr>
      <w:tr w:rsidR="009F76CC" w:rsidRPr="009F76CC" w14:paraId="06766C8D"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1590FED2"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768C7BCD" w14:textId="052A59C2" w:rsidR="009F76CC" w:rsidRPr="009F76CC" w:rsidRDefault="009F76CC" w:rsidP="0035109B">
            <w:pPr>
              <w:widowControl w:val="0"/>
              <w:rPr>
                <w:rFonts w:asciiTheme="minorHAnsi" w:hAnsiTheme="minorHAnsi" w:cstheme="minorHAnsi"/>
              </w:rPr>
            </w:pPr>
            <w:r w:rsidRPr="009F76CC">
              <w:rPr>
                <w:rFonts w:asciiTheme="minorHAnsi" w:hAnsiTheme="minorHAnsi" w:cstheme="minorHAnsi"/>
              </w:rPr>
              <w:t xml:space="preserve">Are any of your </w:t>
            </w:r>
            <w:r w:rsidR="00470907">
              <w:rPr>
                <w:rFonts w:asciiTheme="minorHAnsi" w:hAnsiTheme="minorHAnsi" w:cstheme="minorHAnsi"/>
              </w:rPr>
              <w:t>A</w:t>
            </w:r>
            <w:r w:rsidRPr="009F76CC">
              <w:rPr>
                <w:rFonts w:asciiTheme="minorHAnsi" w:hAnsiTheme="minorHAnsi" w:cstheme="minorHAnsi"/>
              </w:rPr>
              <w:t xml:space="preserve">ssociated </w:t>
            </w:r>
            <w:r w:rsidR="00470907">
              <w:rPr>
                <w:rFonts w:asciiTheme="minorHAnsi" w:hAnsiTheme="minorHAnsi" w:cstheme="minorHAnsi"/>
              </w:rPr>
              <w:t>P</w:t>
            </w:r>
            <w:r w:rsidRPr="009F76CC">
              <w:rPr>
                <w:rFonts w:asciiTheme="minorHAnsi" w:hAnsiTheme="minorHAnsi" w:cstheme="minorHAnsi"/>
              </w:rPr>
              <w:t>ersons on the debarment list?</w:t>
            </w:r>
          </w:p>
        </w:tc>
      </w:tr>
      <w:tr w:rsidR="009F76CC" w:rsidRPr="009F76CC" w14:paraId="3DAC3CEC" w14:textId="77777777" w:rsidTr="001F2CCD">
        <w:trPr>
          <w:cantSplit/>
          <w:trHeight w:val="113"/>
        </w:trPr>
        <w:tc>
          <w:tcPr>
            <w:tcW w:w="650" w:type="dxa"/>
            <w:vMerge/>
            <w:tcMar>
              <w:top w:w="57" w:type="dxa"/>
              <w:left w:w="0" w:type="dxa"/>
              <w:bottom w:w="57" w:type="dxa"/>
              <w:right w:w="0" w:type="dxa"/>
            </w:tcMar>
          </w:tcPr>
          <w:p w14:paraId="082F011E"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tcBorders>
            <w:tcMar>
              <w:top w:w="57" w:type="dxa"/>
              <w:left w:w="0" w:type="dxa"/>
              <w:bottom w:w="57" w:type="dxa"/>
              <w:right w:w="0" w:type="dxa"/>
            </w:tcMar>
          </w:tcPr>
          <w:p w14:paraId="0E4A8F9A"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Yes or No]</w:t>
            </w:r>
          </w:p>
          <w:p w14:paraId="5D73C728"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[If yes, insert details]</w:t>
            </w:r>
          </w:p>
        </w:tc>
      </w:tr>
      <w:tr w:rsidR="009F76CC" w:rsidRPr="009F76CC" w14:paraId="7AC5822D" w14:textId="77777777" w:rsidTr="001F2CCD">
        <w:trPr>
          <w:cantSplit/>
          <w:trHeight w:val="113"/>
        </w:trPr>
        <w:tc>
          <w:tcPr>
            <w:tcW w:w="9098" w:type="dxa"/>
            <w:gridSpan w:val="2"/>
            <w:tcBorders>
              <w:bottom w:val="single" w:sz="4" w:space="0" w:color="auto"/>
            </w:tcBorders>
            <w:shd w:val="clear" w:color="auto" w:fill="F9CFE9" w:themeFill="text1" w:themeFillTint="33"/>
            <w:tcMar>
              <w:top w:w="57" w:type="dxa"/>
              <w:left w:w="0" w:type="dxa"/>
              <w:bottom w:w="57" w:type="dxa"/>
              <w:right w:w="0" w:type="dxa"/>
            </w:tcMar>
          </w:tcPr>
          <w:p w14:paraId="13A9F916" w14:textId="62FB0083" w:rsidR="009F76CC" w:rsidRPr="009F76CC" w:rsidRDefault="009F76CC" w:rsidP="0035109B">
            <w:pPr>
              <w:keepNext/>
              <w:keepLines/>
              <w:widowControl w:val="0"/>
              <w:outlineLvl w:val="3"/>
              <w:rPr>
                <w:rFonts w:asciiTheme="minorHAnsi" w:hAnsiTheme="minorHAnsi" w:cstheme="minorHAnsi"/>
                <w:color w:val="000000"/>
              </w:rPr>
            </w:pPr>
            <w:bookmarkStart w:id="22" w:name="_Toc183608008"/>
            <w:r w:rsidRPr="009F76CC">
              <w:rPr>
                <w:rFonts w:asciiTheme="minorHAnsi" w:hAnsiTheme="minorHAnsi" w:cstheme="minorHAnsi"/>
                <w:b/>
                <w:color w:val="000000"/>
              </w:rPr>
              <w:lastRenderedPageBreak/>
              <w:t>Part 2B – list of all intended sub-contractors</w:t>
            </w:r>
            <w:bookmarkEnd w:id="22"/>
          </w:p>
        </w:tc>
      </w:tr>
      <w:tr w:rsidR="009F76CC" w:rsidRPr="009F76CC" w14:paraId="4133F658"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061FF99A"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13B74929" w14:textId="77777777"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 xml:space="preserve">Please provide: </w:t>
            </w:r>
          </w:p>
          <w:p w14:paraId="797E76EB" w14:textId="64F2BB6C" w:rsidR="009F76CC" w:rsidRPr="009F76CC" w:rsidRDefault="009F76CC" w:rsidP="00AA0F4D">
            <w:pPr>
              <w:widowControl w:val="0"/>
              <w:numPr>
                <w:ilvl w:val="0"/>
                <w:numId w:val="48"/>
              </w:numPr>
              <w:adjustRightInd/>
              <w:spacing w:after="120"/>
              <w:rPr>
                <w:rFonts w:asciiTheme="minorHAnsi" w:hAnsiTheme="minorHAnsi" w:cstheme="minorHAnsi"/>
              </w:rPr>
            </w:pPr>
            <w:r w:rsidRPr="009F76CC">
              <w:rPr>
                <w:rFonts w:asciiTheme="minorHAnsi" w:hAnsiTheme="minorHAnsi" w:cstheme="minorHAnsi"/>
              </w:rPr>
              <w:t xml:space="preserve">a list of all </w:t>
            </w:r>
            <w:r w:rsidR="00205BE8">
              <w:rPr>
                <w:rFonts w:asciiTheme="minorHAnsi" w:hAnsiTheme="minorHAnsi" w:cstheme="minorHAnsi"/>
              </w:rPr>
              <w:t>S</w:t>
            </w:r>
            <w:r w:rsidRPr="009F76CC">
              <w:rPr>
                <w:rFonts w:asciiTheme="minorHAnsi" w:hAnsiTheme="minorHAnsi" w:cstheme="minorHAnsi"/>
              </w:rPr>
              <w:t xml:space="preserve">uppliers who you intend to sub-contract the performance of all or part of the </w:t>
            </w:r>
            <w:r w:rsidR="00205BE8">
              <w:rPr>
                <w:rFonts w:asciiTheme="minorHAnsi" w:hAnsiTheme="minorHAnsi" w:cstheme="minorHAnsi"/>
              </w:rPr>
              <w:t>C</w:t>
            </w:r>
            <w:r w:rsidRPr="009F76CC">
              <w:rPr>
                <w:rFonts w:asciiTheme="minorHAnsi" w:hAnsiTheme="minorHAnsi" w:cstheme="minorHAnsi"/>
              </w:rPr>
              <w:t>ontract to (either directly or in your wider supply chain)</w:t>
            </w:r>
          </w:p>
          <w:p w14:paraId="03A50B16" w14:textId="44BD2737" w:rsidR="009F76CC" w:rsidRPr="009F76CC" w:rsidRDefault="009F76CC" w:rsidP="00AA0F4D">
            <w:pPr>
              <w:widowControl w:val="0"/>
              <w:numPr>
                <w:ilvl w:val="0"/>
                <w:numId w:val="48"/>
              </w:numPr>
              <w:adjustRightInd/>
              <w:spacing w:after="120"/>
              <w:rPr>
                <w:rFonts w:asciiTheme="minorHAnsi" w:hAnsiTheme="minorHAnsi" w:cstheme="minorHAnsi"/>
              </w:rPr>
            </w:pPr>
            <w:r w:rsidRPr="009F76CC">
              <w:rPr>
                <w:rFonts w:asciiTheme="minorHAnsi" w:hAnsiTheme="minorHAnsi" w:cstheme="minorHAnsi"/>
              </w:rPr>
              <w:t xml:space="preserve">their </w:t>
            </w:r>
            <w:r w:rsidR="00470907">
              <w:rPr>
                <w:rFonts w:asciiTheme="minorHAnsi" w:hAnsiTheme="minorHAnsi" w:cstheme="minorHAnsi"/>
              </w:rPr>
              <w:t>U</w:t>
            </w:r>
            <w:r w:rsidRPr="009F76CC">
              <w:rPr>
                <w:rFonts w:asciiTheme="minorHAnsi" w:hAnsiTheme="minorHAnsi" w:cstheme="minorHAnsi"/>
              </w:rPr>
              <w:t xml:space="preserve">nique </w:t>
            </w:r>
            <w:r w:rsidR="00470907">
              <w:rPr>
                <w:rFonts w:asciiTheme="minorHAnsi" w:hAnsiTheme="minorHAnsi" w:cstheme="minorHAnsi"/>
              </w:rPr>
              <w:t>I</w:t>
            </w:r>
            <w:r w:rsidRPr="009F76CC">
              <w:rPr>
                <w:rFonts w:asciiTheme="minorHAnsi" w:hAnsiTheme="minorHAnsi" w:cstheme="minorHAnsi"/>
              </w:rPr>
              <w:t>dentifier (if they are registered on the CDP), or otherwise, a Companies House number charity number, VAT registration number, or equivalent</w:t>
            </w:r>
          </w:p>
          <w:p w14:paraId="6DA70C41" w14:textId="2796369C" w:rsidR="009F76CC" w:rsidRPr="009F76CC" w:rsidRDefault="009F76CC" w:rsidP="00AA0F4D">
            <w:pPr>
              <w:widowControl w:val="0"/>
              <w:numPr>
                <w:ilvl w:val="0"/>
                <w:numId w:val="48"/>
              </w:numPr>
              <w:adjustRightInd/>
              <w:spacing w:after="120"/>
              <w:rPr>
                <w:rFonts w:asciiTheme="minorHAnsi" w:hAnsiTheme="minorHAnsi" w:cstheme="minorHAnsi"/>
              </w:rPr>
            </w:pPr>
            <w:r w:rsidRPr="009F76CC">
              <w:rPr>
                <w:rFonts w:asciiTheme="minorHAnsi" w:hAnsiTheme="minorHAnsi" w:cstheme="minorHAnsi"/>
              </w:rPr>
              <w:t xml:space="preserve">a brief description of their intended role in the performance of the </w:t>
            </w:r>
            <w:r w:rsidR="00205BE8">
              <w:rPr>
                <w:rFonts w:asciiTheme="minorHAnsi" w:hAnsiTheme="minorHAnsi" w:cstheme="minorHAnsi"/>
              </w:rPr>
              <w:t>C</w:t>
            </w:r>
            <w:r w:rsidRPr="009F76CC">
              <w:rPr>
                <w:rFonts w:asciiTheme="minorHAnsi" w:hAnsiTheme="minorHAnsi" w:cstheme="minorHAnsi"/>
              </w:rPr>
              <w:t>ontract</w:t>
            </w:r>
          </w:p>
          <w:p w14:paraId="3C8DFB78" w14:textId="48B9B90A" w:rsidR="009F76CC" w:rsidRPr="009F76CC" w:rsidRDefault="009F76CC" w:rsidP="0035109B">
            <w:pPr>
              <w:widowControl w:val="0"/>
              <w:rPr>
                <w:rFonts w:asciiTheme="minorHAnsi" w:hAnsiTheme="minorHAnsi" w:cstheme="minorHAnsi"/>
                <w:iCs/>
              </w:rPr>
            </w:pPr>
            <w:r w:rsidRPr="009F76CC">
              <w:rPr>
                <w:rFonts w:asciiTheme="minorHAnsi" w:hAnsiTheme="minorHAnsi" w:cstheme="minorHAnsi"/>
                <w:iCs/>
              </w:rPr>
              <w:t>If y</w:t>
            </w:r>
            <w:r w:rsidRPr="005E7676">
              <w:rPr>
                <w:rFonts w:asciiTheme="minorHAnsi" w:hAnsiTheme="minorHAnsi" w:cstheme="minorHAnsi"/>
                <w:iCs/>
              </w:rPr>
              <w:t xml:space="preserve">ou are not intending to sub-contract the performance of all or part of the </w:t>
            </w:r>
            <w:r w:rsidR="00205BE8" w:rsidRPr="005E7676">
              <w:rPr>
                <w:rFonts w:asciiTheme="minorHAnsi" w:hAnsiTheme="minorHAnsi" w:cstheme="minorHAnsi"/>
                <w:iCs/>
              </w:rPr>
              <w:t>C</w:t>
            </w:r>
            <w:r w:rsidRPr="005E7676">
              <w:rPr>
                <w:rFonts w:asciiTheme="minorHAnsi" w:hAnsiTheme="minorHAnsi" w:cstheme="minorHAnsi"/>
                <w:iCs/>
              </w:rPr>
              <w:t xml:space="preserve">ontract, then this </w:t>
            </w:r>
            <w:r w:rsidRPr="00F145E2">
              <w:rPr>
                <w:rFonts w:asciiTheme="minorHAnsi" w:hAnsiTheme="minorHAnsi" w:cstheme="minorHAnsi"/>
                <w:b/>
                <w:bCs/>
                <w:iCs/>
              </w:rPr>
              <w:t xml:space="preserve">question </w:t>
            </w:r>
            <w:r w:rsidR="00470907" w:rsidRPr="00F145E2">
              <w:rPr>
                <w:rFonts w:asciiTheme="minorHAnsi" w:hAnsiTheme="minorHAnsi" w:cstheme="minorHAnsi"/>
                <w:b/>
                <w:bCs/>
                <w:iCs/>
              </w:rPr>
              <w:t xml:space="preserve">11 </w:t>
            </w:r>
            <w:r w:rsidRPr="00F145E2">
              <w:rPr>
                <w:rFonts w:asciiTheme="minorHAnsi" w:hAnsiTheme="minorHAnsi" w:cstheme="minorHAnsi"/>
                <w:b/>
                <w:bCs/>
                <w:iCs/>
              </w:rPr>
              <w:t>and Q12</w:t>
            </w:r>
            <w:r w:rsidRPr="005E7676">
              <w:rPr>
                <w:rFonts w:asciiTheme="minorHAnsi" w:hAnsiTheme="minorHAnsi" w:cstheme="minorHAnsi"/>
                <w:iCs/>
                <w:color w:val="FF0000"/>
              </w:rPr>
              <w:t xml:space="preserve"> </w:t>
            </w:r>
            <w:r w:rsidRPr="005E7676">
              <w:rPr>
                <w:rFonts w:asciiTheme="minorHAnsi" w:hAnsiTheme="minorHAnsi" w:cstheme="minorHAnsi"/>
                <w:iCs/>
              </w:rPr>
              <w:t>are not applicable</w:t>
            </w:r>
            <w:r w:rsidRPr="009F76CC">
              <w:rPr>
                <w:rFonts w:asciiTheme="minorHAnsi" w:hAnsiTheme="minorHAnsi" w:cstheme="minorHAnsi"/>
                <w:iCs/>
              </w:rPr>
              <w:t>.</w:t>
            </w:r>
          </w:p>
          <w:p w14:paraId="2DF50D20" w14:textId="77777777" w:rsidR="009F76CC" w:rsidRPr="009F76CC" w:rsidRDefault="009F76CC" w:rsidP="0035109B">
            <w:pPr>
              <w:widowControl w:val="0"/>
              <w:rPr>
                <w:rFonts w:asciiTheme="minorHAnsi" w:hAnsiTheme="minorHAnsi" w:cstheme="minorHAnsi"/>
                <w:iCs/>
              </w:rPr>
            </w:pPr>
          </w:p>
          <w:p w14:paraId="2D0558FF" w14:textId="17FCA195" w:rsidR="009F76CC" w:rsidRPr="009F76CC" w:rsidRDefault="009F76CC" w:rsidP="0035109B">
            <w:pPr>
              <w:widowControl w:val="0"/>
              <w:rPr>
                <w:rFonts w:asciiTheme="minorHAnsi" w:hAnsiTheme="minorHAnsi" w:cstheme="minorHAnsi"/>
                <w:iCs/>
              </w:rPr>
            </w:pPr>
            <w:r w:rsidRPr="009F76CC">
              <w:rPr>
                <w:rFonts w:asciiTheme="minorHAnsi" w:hAnsiTheme="minorHAnsi" w:cstheme="minorHAnsi"/>
                <w:iCs/>
              </w:rPr>
              <w:t xml:space="preserve">If a sub-contractor is unknown at the start of the procurement (or brought in during it), this should be made clear by the </w:t>
            </w:r>
            <w:r w:rsidR="00205BE8">
              <w:rPr>
                <w:rFonts w:asciiTheme="minorHAnsi" w:hAnsiTheme="minorHAnsi" w:cstheme="minorHAnsi"/>
                <w:iCs/>
              </w:rPr>
              <w:t>S</w:t>
            </w:r>
            <w:r w:rsidRPr="009F76CC">
              <w:rPr>
                <w:rFonts w:asciiTheme="minorHAnsi" w:hAnsiTheme="minorHAnsi" w:cstheme="minorHAnsi"/>
                <w:iCs/>
              </w:rPr>
              <w:t>upplier and relevant details of the sub-contractor should be provided once their identity and role is confirmed. This information should be shared with the contracting authority as soon as possible and at least by final tenders.</w:t>
            </w:r>
          </w:p>
        </w:tc>
      </w:tr>
      <w:tr w:rsidR="009F76CC" w:rsidRPr="009F76CC" w14:paraId="436CC477"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017E614B"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bottom w:val="single" w:sz="4" w:space="0" w:color="auto"/>
            </w:tcBorders>
            <w:tcMar>
              <w:top w:w="57" w:type="dxa"/>
              <w:left w:w="0" w:type="dxa"/>
              <w:bottom w:w="57" w:type="dxa"/>
              <w:right w:w="0" w:type="dxa"/>
            </w:tcMar>
          </w:tcPr>
          <w:p w14:paraId="68672D1F" w14:textId="00296FAC"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 xml:space="preserve">[Insert name of </w:t>
            </w:r>
            <w:r w:rsidR="00205BE8">
              <w:rPr>
                <w:rFonts w:asciiTheme="minorHAnsi" w:hAnsiTheme="minorHAnsi" w:cstheme="minorHAnsi"/>
                <w:b/>
              </w:rPr>
              <w:t>S</w:t>
            </w:r>
            <w:r w:rsidRPr="009F76CC">
              <w:rPr>
                <w:rFonts w:asciiTheme="minorHAnsi" w:hAnsiTheme="minorHAnsi" w:cstheme="minorHAnsi"/>
                <w:b/>
              </w:rPr>
              <w:t xml:space="preserve">upplier – </w:t>
            </w:r>
            <w:r w:rsidR="00470907">
              <w:rPr>
                <w:rFonts w:asciiTheme="minorHAnsi" w:hAnsiTheme="minorHAnsi" w:cstheme="minorHAnsi"/>
                <w:b/>
              </w:rPr>
              <w:t>U</w:t>
            </w:r>
            <w:r w:rsidRPr="009F76CC">
              <w:rPr>
                <w:rFonts w:asciiTheme="minorHAnsi" w:hAnsiTheme="minorHAnsi" w:cstheme="minorHAnsi"/>
                <w:b/>
              </w:rPr>
              <w:t xml:space="preserve">nique </w:t>
            </w:r>
            <w:r w:rsidR="00470907">
              <w:rPr>
                <w:rFonts w:asciiTheme="minorHAnsi" w:hAnsiTheme="minorHAnsi" w:cstheme="minorHAnsi"/>
                <w:b/>
              </w:rPr>
              <w:t>I</w:t>
            </w:r>
            <w:r w:rsidRPr="009F76CC">
              <w:rPr>
                <w:rFonts w:asciiTheme="minorHAnsi" w:hAnsiTheme="minorHAnsi" w:cstheme="minorHAnsi"/>
                <w:b/>
              </w:rPr>
              <w:t>dentifier – brief description]</w:t>
            </w:r>
          </w:p>
          <w:p w14:paraId="593AE4EA" w14:textId="41C7B7D6"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 xml:space="preserve">[Insert name of </w:t>
            </w:r>
            <w:r w:rsidR="00205BE8">
              <w:rPr>
                <w:rFonts w:asciiTheme="minorHAnsi" w:hAnsiTheme="minorHAnsi" w:cstheme="minorHAnsi"/>
                <w:b/>
              </w:rPr>
              <w:t>S</w:t>
            </w:r>
            <w:r w:rsidRPr="009F76CC">
              <w:rPr>
                <w:rFonts w:asciiTheme="minorHAnsi" w:hAnsiTheme="minorHAnsi" w:cstheme="minorHAnsi"/>
                <w:b/>
              </w:rPr>
              <w:t xml:space="preserve">upplier – </w:t>
            </w:r>
            <w:r w:rsidR="00470907">
              <w:rPr>
                <w:rFonts w:asciiTheme="minorHAnsi" w:hAnsiTheme="minorHAnsi" w:cstheme="minorHAnsi"/>
                <w:b/>
              </w:rPr>
              <w:t>U</w:t>
            </w:r>
            <w:r w:rsidRPr="009F76CC">
              <w:rPr>
                <w:rFonts w:asciiTheme="minorHAnsi" w:hAnsiTheme="minorHAnsi" w:cstheme="minorHAnsi"/>
                <w:b/>
              </w:rPr>
              <w:t xml:space="preserve">nique </w:t>
            </w:r>
            <w:r w:rsidR="00470907">
              <w:rPr>
                <w:rFonts w:asciiTheme="minorHAnsi" w:hAnsiTheme="minorHAnsi" w:cstheme="minorHAnsi"/>
                <w:b/>
              </w:rPr>
              <w:t>I</w:t>
            </w:r>
            <w:r w:rsidRPr="009F76CC">
              <w:rPr>
                <w:rFonts w:asciiTheme="minorHAnsi" w:hAnsiTheme="minorHAnsi" w:cstheme="minorHAnsi"/>
                <w:b/>
              </w:rPr>
              <w:t>dentifier – brief description]</w:t>
            </w:r>
          </w:p>
        </w:tc>
      </w:tr>
      <w:tr w:rsidR="009F76CC" w:rsidRPr="009F76CC" w14:paraId="7DA4859B"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3EB9F2CE" w14:textId="77777777" w:rsidR="009F76CC" w:rsidRPr="009F76CC" w:rsidRDefault="009F76CC" w:rsidP="00AA0F4D">
            <w:pPr>
              <w:keepNext/>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7EA4A00D" w14:textId="2896C876" w:rsidR="009F76CC" w:rsidRPr="009F76CC" w:rsidRDefault="009F76CC" w:rsidP="0035109B">
            <w:pPr>
              <w:keepNext/>
              <w:widowControl w:val="0"/>
              <w:spacing w:after="120"/>
              <w:rPr>
                <w:rFonts w:asciiTheme="minorHAnsi" w:hAnsiTheme="minorHAnsi" w:cstheme="minorHAnsi"/>
              </w:rPr>
            </w:pPr>
            <w:r w:rsidRPr="009F76CC">
              <w:rPr>
                <w:rFonts w:asciiTheme="minorHAnsi" w:hAnsiTheme="minorHAnsi" w:cstheme="minorHAnsi"/>
              </w:rPr>
              <w:t>Please confirm if any intended sub-contractor is on the debarment list.</w:t>
            </w:r>
          </w:p>
          <w:p w14:paraId="0C9CFD0D" w14:textId="77777777" w:rsidR="009F76CC" w:rsidRPr="009F76CC" w:rsidRDefault="009F76CC" w:rsidP="0035109B">
            <w:pPr>
              <w:keepNext/>
              <w:widowControl w:val="0"/>
              <w:rPr>
                <w:rFonts w:asciiTheme="minorHAnsi" w:hAnsiTheme="minorHAnsi" w:cstheme="minorHAnsi"/>
              </w:rPr>
            </w:pPr>
            <w:r w:rsidRPr="009F76CC">
              <w:rPr>
                <w:rFonts w:asciiTheme="minorHAnsi" w:hAnsiTheme="minorHAnsi" w:cstheme="minorHAnsi"/>
              </w:rPr>
              <w:t>The debarment list can be found here [insert link]</w:t>
            </w:r>
          </w:p>
        </w:tc>
      </w:tr>
      <w:tr w:rsidR="009F76CC" w:rsidRPr="009F76CC" w14:paraId="3D4BE0E3" w14:textId="77777777" w:rsidTr="001F2CCD">
        <w:trPr>
          <w:cantSplit/>
          <w:trHeight w:val="113"/>
        </w:trPr>
        <w:tc>
          <w:tcPr>
            <w:tcW w:w="650" w:type="dxa"/>
            <w:vMerge/>
            <w:tcMar>
              <w:top w:w="57" w:type="dxa"/>
              <w:left w:w="0" w:type="dxa"/>
              <w:bottom w:w="57" w:type="dxa"/>
              <w:right w:w="0" w:type="dxa"/>
            </w:tcMar>
          </w:tcPr>
          <w:p w14:paraId="2BA679C1"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tcBorders>
            <w:tcMar>
              <w:top w:w="57" w:type="dxa"/>
              <w:left w:w="0" w:type="dxa"/>
              <w:bottom w:w="57" w:type="dxa"/>
              <w:right w:w="0" w:type="dxa"/>
            </w:tcMar>
          </w:tcPr>
          <w:p w14:paraId="2C99B110"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Yes or No]</w:t>
            </w:r>
          </w:p>
          <w:p w14:paraId="1F2A8563"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[If yes, insert sub-contractor(s) name and provide details]</w:t>
            </w:r>
          </w:p>
        </w:tc>
      </w:tr>
      <w:tr w:rsidR="009F76CC" w:rsidRPr="009F76CC" w14:paraId="319F0F32" w14:textId="77777777" w:rsidTr="001F2CCD">
        <w:trPr>
          <w:cantSplit/>
          <w:trHeight w:val="113"/>
        </w:trPr>
        <w:tc>
          <w:tcPr>
            <w:tcW w:w="9098" w:type="dxa"/>
            <w:gridSpan w:val="2"/>
            <w:shd w:val="clear" w:color="auto" w:fill="F9CFE9" w:themeFill="text1" w:themeFillTint="33"/>
            <w:tcMar>
              <w:top w:w="57" w:type="dxa"/>
              <w:left w:w="0" w:type="dxa"/>
              <w:bottom w:w="57" w:type="dxa"/>
              <w:right w:w="0" w:type="dxa"/>
            </w:tcMar>
          </w:tcPr>
          <w:p w14:paraId="22FF279A" w14:textId="447FC7FA" w:rsidR="009F76CC" w:rsidRPr="009F76CC" w:rsidRDefault="009F76CC" w:rsidP="001B3144">
            <w:pPr>
              <w:keepNext/>
              <w:keepLines/>
              <w:widowControl w:val="0"/>
              <w:rPr>
                <w:rFonts w:asciiTheme="minorHAnsi" w:hAnsiTheme="minorHAnsi" w:cstheme="minorHAnsi"/>
              </w:rPr>
            </w:pPr>
            <w:bookmarkStart w:id="23" w:name="_Toc183608009"/>
            <w:bookmarkStart w:id="24" w:name="_Toc185334277"/>
            <w:r w:rsidRPr="009F76CC">
              <w:rPr>
                <w:rFonts w:asciiTheme="minorHAnsi" w:hAnsiTheme="minorHAnsi" w:cstheme="minorHAnsi"/>
                <w:b/>
              </w:rPr>
              <w:t xml:space="preserve">Part 3 – questions relating to </w:t>
            </w:r>
            <w:r w:rsidR="00470907">
              <w:rPr>
                <w:rFonts w:asciiTheme="minorHAnsi" w:hAnsiTheme="minorHAnsi" w:cstheme="minorHAnsi"/>
                <w:b/>
              </w:rPr>
              <w:t>C</w:t>
            </w:r>
            <w:r w:rsidRPr="009F76CC">
              <w:rPr>
                <w:rFonts w:asciiTheme="minorHAnsi" w:hAnsiTheme="minorHAnsi" w:cstheme="minorHAnsi"/>
                <w:b/>
              </w:rPr>
              <w:t xml:space="preserve">onditions of </w:t>
            </w:r>
            <w:r w:rsidR="00470907">
              <w:rPr>
                <w:rFonts w:asciiTheme="minorHAnsi" w:hAnsiTheme="minorHAnsi" w:cstheme="minorHAnsi"/>
                <w:b/>
              </w:rPr>
              <w:t>P</w:t>
            </w:r>
            <w:r w:rsidRPr="009F76CC">
              <w:rPr>
                <w:rFonts w:asciiTheme="minorHAnsi" w:hAnsiTheme="minorHAnsi" w:cstheme="minorHAnsi"/>
                <w:b/>
              </w:rPr>
              <w:t>articipation</w:t>
            </w:r>
            <w:bookmarkEnd w:id="23"/>
            <w:bookmarkEnd w:id="24"/>
          </w:p>
        </w:tc>
      </w:tr>
      <w:tr w:rsidR="009F76CC" w:rsidRPr="009F76CC" w14:paraId="08CD75B0" w14:textId="77777777" w:rsidTr="001F2CCD">
        <w:trPr>
          <w:cantSplit/>
          <w:trHeight w:val="113"/>
        </w:trPr>
        <w:tc>
          <w:tcPr>
            <w:tcW w:w="9098" w:type="dxa"/>
            <w:gridSpan w:val="2"/>
            <w:shd w:val="clear" w:color="auto" w:fill="F9CFE9" w:themeFill="text1" w:themeFillTint="33"/>
            <w:tcMar>
              <w:top w:w="57" w:type="dxa"/>
              <w:left w:w="0" w:type="dxa"/>
              <w:bottom w:w="57" w:type="dxa"/>
              <w:right w:w="0" w:type="dxa"/>
            </w:tcMar>
          </w:tcPr>
          <w:p w14:paraId="3E16B93F" w14:textId="77777777" w:rsidR="009F76CC" w:rsidRPr="009F76CC" w:rsidRDefault="009F76CC" w:rsidP="0035109B">
            <w:pPr>
              <w:keepNext/>
              <w:keepLines/>
              <w:widowControl w:val="0"/>
              <w:outlineLvl w:val="3"/>
              <w:rPr>
                <w:rFonts w:asciiTheme="minorHAnsi" w:hAnsiTheme="minorHAnsi" w:cstheme="minorHAnsi"/>
                <w:color w:val="000000"/>
              </w:rPr>
            </w:pPr>
            <w:bookmarkStart w:id="25" w:name="_Toc183608010"/>
            <w:r w:rsidRPr="009F76CC">
              <w:rPr>
                <w:rFonts w:asciiTheme="minorHAnsi" w:hAnsiTheme="minorHAnsi" w:cstheme="minorHAnsi"/>
                <w:b/>
                <w:color w:val="000000"/>
              </w:rPr>
              <w:t>Part 3A – standard questions</w:t>
            </w:r>
            <w:bookmarkEnd w:id="25"/>
          </w:p>
        </w:tc>
      </w:tr>
      <w:tr w:rsidR="009F76CC" w:rsidRPr="009F76CC" w14:paraId="2B64BA91" w14:textId="77777777" w:rsidTr="001F2CCD">
        <w:trPr>
          <w:cantSplit/>
          <w:trHeight w:val="113"/>
        </w:trPr>
        <w:tc>
          <w:tcPr>
            <w:tcW w:w="9098" w:type="dxa"/>
            <w:gridSpan w:val="2"/>
            <w:shd w:val="clear" w:color="auto" w:fill="F9CFE9" w:themeFill="text1" w:themeFillTint="33"/>
            <w:tcMar>
              <w:top w:w="57" w:type="dxa"/>
              <w:left w:w="0" w:type="dxa"/>
              <w:bottom w:w="57" w:type="dxa"/>
              <w:right w:w="0" w:type="dxa"/>
            </w:tcMar>
          </w:tcPr>
          <w:p w14:paraId="4D28A592" w14:textId="77777777" w:rsidR="009F76CC" w:rsidRPr="009F76CC" w:rsidRDefault="009F76CC" w:rsidP="0035109B">
            <w:pPr>
              <w:keepNext/>
              <w:keepLines/>
              <w:widowControl w:val="0"/>
              <w:rPr>
                <w:rFonts w:asciiTheme="minorHAnsi" w:hAnsiTheme="minorHAnsi" w:cstheme="minorHAnsi"/>
              </w:rPr>
            </w:pPr>
            <w:r w:rsidRPr="009F76CC">
              <w:rPr>
                <w:rFonts w:asciiTheme="minorHAnsi" w:hAnsiTheme="minorHAnsi" w:cstheme="minorHAnsi"/>
              </w:rPr>
              <w:t>Financial capacity</w:t>
            </w:r>
          </w:p>
        </w:tc>
      </w:tr>
      <w:tr w:rsidR="009F76CC" w:rsidRPr="009F76CC" w14:paraId="5A0189F7" w14:textId="77777777" w:rsidTr="001F2CCD">
        <w:trPr>
          <w:cantSplit/>
          <w:trHeight w:val="113"/>
        </w:trPr>
        <w:tc>
          <w:tcPr>
            <w:tcW w:w="650" w:type="dxa"/>
            <w:vMerge w:val="restart"/>
            <w:tcMar>
              <w:top w:w="57" w:type="dxa"/>
              <w:left w:w="0" w:type="dxa"/>
              <w:bottom w:w="57" w:type="dxa"/>
              <w:right w:w="0" w:type="dxa"/>
            </w:tcMar>
          </w:tcPr>
          <w:p w14:paraId="52560F10"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bottom w:val="dashed" w:sz="4" w:space="0" w:color="auto"/>
            </w:tcBorders>
            <w:tcMar>
              <w:top w:w="57" w:type="dxa"/>
              <w:left w:w="0" w:type="dxa"/>
              <w:bottom w:w="57" w:type="dxa"/>
              <w:right w:w="0" w:type="dxa"/>
            </w:tcMar>
          </w:tcPr>
          <w:p w14:paraId="26710CB7" w14:textId="1A425A4A" w:rsidR="009F76CC" w:rsidRPr="005D455B" w:rsidRDefault="006766AC" w:rsidP="0035109B">
            <w:pPr>
              <w:widowControl w:val="0"/>
              <w:spacing w:after="120"/>
              <w:rPr>
                <w:rFonts w:asciiTheme="minorHAnsi" w:hAnsiTheme="minorHAnsi" w:cstheme="minorHAnsi"/>
              </w:rPr>
            </w:pPr>
            <w:r w:rsidRPr="005D455B">
              <w:rPr>
                <w:rFonts w:asciiTheme="minorHAnsi" w:hAnsiTheme="minorHAnsi" w:cstheme="minorHAnsi"/>
              </w:rPr>
              <w:t>Has your organisation, its directors, or parent company been subject to insolvency, liquidation, bankruptcy, administration, or similar proceedings in the past 5 years?</w:t>
            </w:r>
          </w:p>
        </w:tc>
      </w:tr>
      <w:tr w:rsidR="009F76CC" w:rsidRPr="009F76CC" w14:paraId="50B9A54D"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0816BF7F" w14:textId="77777777" w:rsidR="009F76CC" w:rsidRPr="009F76CC" w:rsidRDefault="009F76CC" w:rsidP="0035109B">
            <w:pPr>
              <w:widowControl w:val="0"/>
              <w:rPr>
                <w:rFonts w:asciiTheme="minorHAnsi" w:hAnsiTheme="minorHAnsi" w:cstheme="minorHAnsi"/>
                <w:u w:val="single"/>
              </w:rPr>
            </w:pPr>
          </w:p>
        </w:tc>
        <w:tc>
          <w:tcPr>
            <w:tcW w:w="8448" w:type="dxa"/>
            <w:tcBorders>
              <w:top w:val="dashed" w:sz="4" w:space="0" w:color="auto"/>
              <w:bottom w:val="single" w:sz="4" w:space="0" w:color="auto"/>
            </w:tcBorders>
            <w:tcMar>
              <w:top w:w="57" w:type="dxa"/>
              <w:left w:w="0" w:type="dxa"/>
              <w:bottom w:w="57" w:type="dxa"/>
              <w:right w:w="0" w:type="dxa"/>
            </w:tcMar>
          </w:tcPr>
          <w:p w14:paraId="6BBD1ACA" w14:textId="34326D92" w:rsidR="009F76CC" w:rsidRPr="009F76CC" w:rsidRDefault="00177C3A" w:rsidP="0035109B">
            <w:pPr>
              <w:widowControl w:val="0"/>
              <w:spacing w:after="120"/>
              <w:rPr>
                <w:rFonts w:asciiTheme="minorHAnsi" w:hAnsiTheme="minorHAnsi" w:cstheme="minorHAnsi"/>
                <w:b/>
              </w:rPr>
            </w:pPr>
            <w:r w:rsidRPr="00177C3A">
              <w:rPr>
                <w:rFonts w:asciiTheme="minorHAnsi" w:hAnsiTheme="minorHAnsi" w:cstheme="minorHAnsi"/>
                <w:b/>
              </w:rPr>
              <w:t>[Insert Yes or No]</w:t>
            </w:r>
          </w:p>
        </w:tc>
      </w:tr>
      <w:tr w:rsidR="009F76CC" w:rsidRPr="009F76CC" w14:paraId="40955411"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7D0766CB"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1FFF6233" w14:textId="61280F55" w:rsidR="009F76CC" w:rsidRPr="009F76CC" w:rsidRDefault="009F76CC" w:rsidP="0035109B">
            <w:pPr>
              <w:spacing w:after="120"/>
              <w:rPr>
                <w:rFonts w:asciiTheme="minorHAnsi" w:hAnsiTheme="minorHAnsi" w:cstheme="minorHAnsi"/>
              </w:rPr>
            </w:pPr>
            <w:r w:rsidRPr="009F76CC">
              <w:rPr>
                <w:rFonts w:asciiTheme="minorHAnsi" w:hAnsiTheme="minorHAnsi" w:cstheme="minorHAnsi"/>
              </w:rPr>
              <w:t>Are you relying on another</w:t>
            </w:r>
            <w:r w:rsidR="00205BE8">
              <w:rPr>
                <w:rFonts w:asciiTheme="minorHAnsi" w:hAnsiTheme="minorHAnsi" w:cstheme="minorHAnsi"/>
              </w:rPr>
              <w:t xml:space="preserve"> S</w:t>
            </w:r>
            <w:r w:rsidRPr="009F76CC">
              <w:rPr>
                <w:rFonts w:asciiTheme="minorHAnsi" w:hAnsiTheme="minorHAnsi" w:cstheme="minorHAnsi"/>
              </w:rPr>
              <w:t>upplier to act as a guarantor?</w:t>
            </w:r>
          </w:p>
          <w:p w14:paraId="2366FA19" w14:textId="77777777" w:rsidR="009F76CC" w:rsidRPr="009F76CC" w:rsidRDefault="009F76CC" w:rsidP="0035109B">
            <w:pPr>
              <w:rPr>
                <w:rFonts w:asciiTheme="minorHAnsi" w:hAnsiTheme="minorHAnsi" w:cstheme="minorHAnsi"/>
              </w:rPr>
            </w:pPr>
            <w:r w:rsidRPr="009F76CC">
              <w:rPr>
                <w:rFonts w:asciiTheme="minorHAnsi" w:hAnsiTheme="minorHAnsi" w:cstheme="minorHAnsi"/>
              </w:rPr>
              <w:t>If so, please provide their name and evidence of their economic and financial standing.</w:t>
            </w:r>
          </w:p>
        </w:tc>
      </w:tr>
      <w:tr w:rsidR="009F76CC" w:rsidRPr="009F76CC" w14:paraId="0634F5D4"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3BC6F8DA"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bottom w:val="single" w:sz="4" w:space="0" w:color="auto"/>
            </w:tcBorders>
            <w:tcMar>
              <w:top w:w="57" w:type="dxa"/>
              <w:left w:w="0" w:type="dxa"/>
              <w:bottom w:w="57" w:type="dxa"/>
              <w:right w:w="0" w:type="dxa"/>
            </w:tcMar>
          </w:tcPr>
          <w:p w14:paraId="5B459384"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Yes or No]</w:t>
            </w:r>
          </w:p>
          <w:p w14:paraId="1739245E" w14:textId="77777777"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b/>
              </w:rPr>
              <w:t>[If yes, insert reference / file name]</w:t>
            </w:r>
          </w:p>
        </w:tc>
      </w:tr>
      <w:tr w:rsidR="009F76CC" w:rsidRPr="009F76CC" w14:paraId="1A1F16C0"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38C78B06"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5A2D4A2F" w14:textId="58E1188D"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 xml:space="preserve">Please confirm whether you already have, or can commit to obtain, prior to the award of the </w:t>
            </w:r>
            <w:r w:rsidR="00205BE8">
              <w:rPr>
                <w:rFonts w:asciiTheme="minorHAnsi" w:hAnsiTheme="minorHAnsi" w:cstheme="minorHAnsi"/>
              </w:rPr>
              <w:t>C</w:t>
            </w:r>
            <w:r w:rsidRPr="009F76CC">
              <w:rPr>
                <w:rFonts w:asciiTheme="minorHAnsi" w:hAnsiTheme="minorHAnsi" w:cstheme="minorHAnsi"/>
              </w:rPr>
              <w:t>ontract, the levels of insurance cover indicated below:</w:t>
            </w:r>
          </w:p>
          <w:p w14:paraId="1683C139" w14:textId="2A8B22C5" w:rsidR="009F76CC" w:rsidRPr="009F76CC" w:rsidRDefault="009F76CC" w:rsidP="00AA0F4D">
            <w:pPr>
              <w:widowControl w:val="0"/>
              <w:numPr>
                <w:ilvl w:val="0"/>
                <w:numId w:val="49"/>
              </w:numPr>
              <w:adjustRightInd/>
              <w:spacing w:after="120"/>
              <w:rPr>
                <w:rFonts w:asciiTheme="minorHAnsi" w:hAnsiTheme="minorHAnsi" w:cstheme="minorHAnsi"/>
              </w:rPr>
            </w:pPr>
            <w:r w:rsidRPr="009F76CC">
              <w:rPr>
                <w:rFonts w:asciiTheme="minorHAnsi" w:hAnsiTheme="minorHAnsi" w:cstheme="minorHAnsi"/>
              </w:rPr>
              <w:t xml:space="preserve">Employer’s (Compulsory) Liability Insurance* = </w:t>
            </w:r>
            <w:r w:rsidR="00E556C6" w:rsidRPr="51A78B3B">
              <w:rPr>
                <w:rFonts w:asciiTheme="minorHAnsi" w:hAnsiTheme="minorHAnsi" w:cstheme="minorBidi"/>
              </w:rPr>
              <w:t>£5 million</w:t>
            </w:r>
          </w:p>
          <w:p w14:paraId="57985A82" w14:textId="74E1F8D4" w:rsidR="009F76CC" w:rsidRPr="009F76CC" w:rsidRDefault="009F76CC" w:rsidP="00AA0F4D">
            <w:pPr>
              <w:widowControl w:val="0"/>
              <w:numPr>
                <w:ilvl w:val="0"/>
                <w:numId w:val="49"/>
              </w:numPr>
              <w:adjustRightInd/>
              <w:spacing w:after="120"/>
              <w:rPr>
                <w:rFonts w:asciiTheme="minorHAnsi" w:hAnsiTheme="minorHAnsi" w:cstheme="minorHAnsi"/>
              </w:rPr>
            </w:pPr>
            <w:r w:rsidRPr="009F76CC">
              <w:rPr>
                <w:rFonts w:asciiTheme="minorHAnsi" w:hAnsiTheme="minorHAnsi" w:cstheme="minorHAnsi"/>
              </w:rPr>
              <w:t xml:space="preserve">Public Liability Insurance = </w:t>
            </w:r>
            <w:r w:rsidR="00824EC5" w:rsidRPr="51A78B3B">
              <w:rPr>
                <w:rFonts w:asciiTheme="minorHAnsi" w:hAnsiTheme="minorHAnsi" w:cstheme="minorBidi"/>
              </w:rPr>
              <w:t>£1 million</w:t>
            </w:r>
          </w:p>
          <w:p w14:paraId="2A5D1EC3" w14:textId="39D948A6" w:rsidR="009F76CC" w:rsidRPr="00391032" w:rsidRDefault="009F76CC" w:rsidP="00391032">
            <w:pPr>
              <w:widowControl w:val="0"/>
              <w:numPr>
                <w:ilvl w:val="0"/>
                <w:numId w:val="49"/>
              </w:numPr>
              <w:adjustRightInd/>
              <w:spacing w:after="120"/>
              <w:rPr>
                <w:rFonts w:asciiTheme="minorHAnsi" w:hAnsiTheme="minorHAnsi" w:cstheme="minorHAnsi"/>
              </w:rPr>
            </w:pPr>
            <w:r w:rsidRPr="009F76CC">
              <w:rPr>
                <w:rFonts w:asciiTheme="minorHAnsi" w:hAnsiTheme="minorHAnsi" w:cstheme="minorHAnsi"/>
              </w:rPr>
              <w:t xml:space="preserve">Professional Indemnity Insurance = </w:t>
            </w:r>
            <w:r w:rsidR="00DE175D" w:rsidRPr="51A78B3B">
              <w:rPr>
                <w:rFonts w:asciiTheme="minorHAnsi" w:hAnsiTheme="minorHAnsi" w:cstheme="minorBidi"/>
              </w:rPr>
              <w:t>£1 million</w:t>
            </w:r>
          </w:p>
          <w:p w14:paraId="5171E9B1" w14:textId="77777777" w:rsidR="009F76CC" w:rsidRPr="009F76CC" w:rsidRDefault="009F76CC" w:rsidP="0035109B">
            <w:pPr>
              <w:widowControl w:val="0"/>
              <w:rPr>
                <w:rFonts w:asciiTheme="minorHAnsi" w:hAnsiTheme="minorHAnsi" w:cstheme="minorHAnsi"/>
              </w:rPr>
            </w:pPr>
            <w:r w:rsidRPr="009F76CC">
              <w:rPr>
                <w:rFonts w:asciiTheme="minorHAnsi" w:hAnsiTheme="minorHAnsi" w:cstheme="minorHAnsi"/>
              </w:rPr>
              <w:t xml:space="preserve">*There is a legal requirement for certain employers to hold Employer’s (Compulsory) Liability Insurance of £5 million as a minimum. See the Health and Safety Executive website for more information: </w:t>
            </w:r>
            <w:hyperlink r:id="rId13">
              <w:r w:rsidRPr="00582426">
                <w:rPr>
                  <w:rFonts w:asciiTheme="minorHAnsi" w:hAnsiTheme="minorHAnsi" w:cstheme="minorHAnsi"/>
                  <w:color w:val="DF1995" w:themeColor="text1"/>
                  <w:u w:val="single"/>
                </w:rPr>
                <w:t>www.hse.gov.uk/pubns/hse39.pdf</w:t>
              </w:r>
            </w:hyperlink>
            <w:r w:rsidRPr="00582426">
              <w:rPr>
                <w:rFonts w:asciiTheme="minorHAnsi" w:hAnsiTheme="minorHAnsi" w:cstheme="minorHAnsi"/>
                <w:color w:val="DF1995" w:themeColor="text1"/>
              </w:rPr>
              <w:t>.</w:t>
            </w:r>
          </w:p>
        </w:tc>
      </w:tr>
      <w:tr w:rsidR="009F76CC" w:rsidRPr="009F76CC" w14:paraId="6C319258" w14:textId="77777777" w:rsidTr="001F2CCD">
        <w:trPr>
          <w:cantSplit/>
          <w:trHeight w:val="113"/>
        </w:trPr>
        <w:tc>
          <w:tcPr>
            <w:tcW w:w="650" w:type="dxa"/>
            <w:vMerge/>
            <w:tcMar>
              <w:top w:w="57" w:type="dxa"/>
              <w:left w:w="0" w:type="dxa"/>
              <w:bottom w:w="57" w:type="dxa"/>
              <w:right w:w="0" w:type="dxa"/>
            </w:tcMar>
          </w:tcPr>
          <w:p w14:paraId="35B8895C"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tcBorders>
            <w:tcMar>
              <w:top w:w="57" w:type="dxa"/>
              <w:left w:w="0" w:type="dxa"/>
              <w:bottom w:w="57" w:type="dxa"/>
              <w:right w:w="0" w:type="dxa"/>
            </w:tcMar>
          </w:tcPr>
          <w:p w14:paraId="037A5E73"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Yes or No]</w:t>
            </w:r>
          </w:p>
          <w:p w14:paraId="088614F5"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details of your insurances already in place]</w:t>
            </w:r>
          </w:p>
          <w:p w14:paraId="1ADEB0CE" w14:textId="4E77CFE9"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 xml:space="preserve">[Insert details of your insurances which would be obtained following contract award but prior to entry into the </w:t>
            </w:r>
            <w:r w:rsidR="00205BE8">
              <w:rPr>
                <w:rFonts w:asciiTheme="minorHAnsi" w:hAnsiTheme="minorHAnsi" w:cstheme="minorHAnsi"/>
                <w:b/>
              </w:rPr>
              <w:t>C</w:t>
            </w:r>
            <w:r w:rsidRPr="009F76CC">
              <w:rPr>
                <w:rFonts w:asciiTheme="minorHAnsi" w:hAnsiTheme="minorHAnsi" w:cstheme="minorHAnsi"/>
                <w:b/>
              </w:rPr>
              <w:t>ontract (including information on how you will obtain this insurance – e.g. a quote)]</w:t>
            </w:r>
          </w:p>
        </w:tc>
      </w:tr>
      <w:tr w:rsidR="009F76CC" w:rsidRPr="009F76CC" w14:paraId="4E75724A" w14:textId="77777777" w:rsidTr="001F2CCD">
        <w:trPr>
          <w:cantSplit/>
          <w:trHeight w:val="113"/>
        </w:trPr>
        <w:tc>
          <w:tcPr>
            <w:tcW w:w="9098" w:type="dxa"/>
            <w:gridSpan w:val="2"/>
            <w:shd w:val="clear" w:color="auto" w:fill="F9CFE9" w:themeFill="text1" w:themeFillTint="33"/>
            <w:tcMar>
              <w:top w:w="57" w:type="dxa"/>
              <w:left w:w="0" w:type="dxa"/>
              <w:bottom w:w="57" w:type="dxa"/>
              <w:right w:w="0" w:type="dxa"/>
            </w:tcMar>
          </w:tcPr>
          <w:p w14:paraId="44C82D0F" w14:textId="77777777" w:rsidR="009F76CC" w:rsidRPr="009F76CC" w:rsidRDefault="009F76CC" w:rsidP="0035109B">
            <w:pPr>
              <w:keepNext/>
              <w:keepLines/>
              <w:widowControl w:val="0"/>
              <w:rPr>
                <w:rFonts w:asciiTheme="minorHAnsi" w:hAnsiTheme="minorHAnsi" w:cstheme="minorHAnsi"/>
              </w:rPr>
            </w:pPr>
            <w:r w:rsidRPr="009F76CC">
              <w:rPr>
                <w:rFonts w:asciiTheme="minorHAnsi" w:hAnsiTheme="minorHAnsi" w:cstheme="minorHAnsi"/>
              </w:rPr>
              <w:t>Legal capacity</w:t>
            </w:r>
          </w:p>
        </w:tc>
      </w:tr>
      <w:tr w:rsidR="009F76CC" w:rsidRPr="009F76CC" w14:paraId="4D72631D" w14:textId="77777777" w:rsidTr="001F2CCD">
        <w:trPr>
          <w:cantSplit/>
          <w:trHeight w:val="113"/>
        </w:trPr>
        <w:tc>
          <w:tcPr>
            <w:tcW w:w="650" w:type="dxa"/>
            <w:vMerge w:val="restart"/>
            <w:tcMar>
              <w:top w:w="57" w:type="dxa"/>
              <w:left w:w="0" w:type="dxa"/>
              <w:bottom w:w="57" w:type="dxa"/>
              <w:right w:w="0" w:type="dxa"/>
            </w:tcMar>
          </w:tcPr>
          <w:p w14:paraId="0AAE528F"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bottom w:val="dashed" w:sz="4" w:space="0" w:color="auto"/>
            </w:tcBorders>
            <w:tcMar>
              <w:top w:w="57" w:type="dxa"/>
              <w:left w:w="0" w:type="dxa"/>
              <w:bottom w:w="57" w:type="dxa"/>
              <w:right w:w="0" w:type="dxa"/>
            </w:tcMar>
          </w:tcPr>
          <w:p w14:paraId="5CA1EAF9" w14:textId="77777777" w:rsidR="009F76CC" w:rsidRPr="009F76CC" w:rsidRDefault="009F76CC" w:rsidP="0035109B">
            <w:pPr>
              <w:widowControl w:val="0"/>
              <w:spacing w:after="120"/>
              <w:rPr>
                <w:rFonts w:asciiTheme="minorHAnsi" w:hAnsiTheme="minorHAnsi" w:cstheme="minorHAnsi"/>
                <w:shd w:val="clear" w:color="auto" w:fill="D9D9D9"/>
              </w:rPr>
            </w:pPr>
            <w:r w:rsidRPr="009F76CC">
              <w:rPr>
                <w:rFonts w:asciiTheme="minorHAnsi" w:hAnsiTheme="minorHAnsi" w:cstheme="minorHAnsi"/>
                <w:b/>
              </w:rPr>
              <w:t>[Legal Capacity Conditions of Participation – added by contracting authorities if necessary]</w:t>
            </w:r>
          </w:p>
          <w:p w14:paraId="4AC0470C" w14:textId="3E7D742F" w:rsidR="009F76CC" w:rsidRPr="009F76CC" w:rsidRDefault="00636E49" w:rsidP="0035109B">
            <w:pPr>
              <w:widowControl w:val="0"/>
              <w:rPr>
                <w:rFonts w:asciiTheme="minorHAnsi" w:hAnsiTheme="minorHAnsi" w:cstheme="minorHAnsi"/>
                <w:u w:val="single"/>
              </w:rPr>
            </w:pPr>
            <w:r>
              <w:rPr>
                <w:rFonts w:asciiTheme="minorHAnsi" w:hAnsiTheme="minorHAnsi" w:cstheme="minorHAnsi"/>
              </w:rPr>
              <w:t>N/A</w:t>
            </w:r>
          </w:p>
        </w:tc>
      </w:tr>
      <w:tr w:rsidR="009F76CC" w:rsidRPr="009F76CC" w14:paraId="06D7637B"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38511B83" w14:textId="77777777" w:rsidR="009F76CC" w:rsidRPr="009F76CC" w:rsidRDefault="009F76CC" w:rsidP="0035109B">
            <w:pPr>
              <w:widowControl w:val="0"/>
              <w:rPr>
                <w:rFonts w:asciiTheme="minorHAnsi" w:hAnsiTheme="minorHAnsi" w:cstheme="minorHAnsi"/>
                <w:u w:val="single"/>
              </w:rPr>
            </w:pPr>
          </w:p>
        </w:tc>
        <w:tc>
          <w:tcPr>
            <w:tcW w:w="8448" w:type="dxa"/>
            <w:tcBorders>
              <w:top w:val="dashed" w:sz="4" w:space="0" w:color="auto"/>
              <w:bottom w:val="single" w:sz="4" w:space="0" w:color="auto"/>
            </w:tcBorders>
            <w:tcMar>
              <w:top w:w="57" w:type="dxa"/>
              <w:left w:w="0" w:type="dxa"/>
              <w:bottom w:w="57" w:type="dxa"/>
              <w:right w:w="0" w:type="dxa"/>
            </w:tcMar>
          </w:tcPr>
          <w:p w14:paraId="1A99517A" w14:textId="6BCF93F7" w:rsidR="009F76CC" w:rsidRPr="009F76CC" w:rsidRDefault="009F76CC" w:rsidP="0035109B">
            <w:pPr>
              <w:widowControl w:val="0"/>
              <w:spacing w:after="120"/>
              <w:rPr>
                <w:rFonts w:asciiTheme="minorHAnsi" w:hAnsiTheme="minorHAnsi" w:cstheme="minorHAnsi"/>
                <w:b/>
              </w:rPr>
            </w:pPr>
          </w:p>
        </w:tc>
      </w:tr>
      <w:tr w:rsidR="009F76CC" w:rsidRPr="009F76CC" w14:paraId="51593B12"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101014F7"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540112CF" w14:textId="11D83458"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 xml:space="preserve">Please confirm that you have in place, or that you will have in place by the award of the </w:t>
            </w:r>
            <w:r w:rsidR="00205BE8">
              <w:rPr>
                <w:rFonts w:asciiTheme="minorHAnsi" w:hAnsiTheme="minorHAnsi" w:cstheme="minorHAnsi"/>
              </w:rPr>
              <w:t>C</w:t>
            </w:r>
            <w:r w:rsidRPr="009F76CC">
              <w:rPr>
                <w:rFonts w:asciiTheme="minorHAnsi" w:hAnsiTheme="minorHAnsi" w:cstheme="minorHAnsi"/>
              </w:rPr>
              <w:t xml:space="preserve">ontract, the human and technical resources to perform the </w:t>
            </w:r>
            <w:r w:rsidR="00205BE8">
              <w:rPr>
                <w:rFonts w:asciiTheme="minorHAnsi" w:hAnsiTheme="minorHAnsi" w:cstheme="minorHAnsi"/>
              </w:rPr>
              <w:t>C</w:t>
            </w:r>
            <w:r w:rsidRPr="009F76CC">
              <w:rPr>
                <w:rFonts w:asciiTheme="minorHAnsi" w:hAnsiTheme="minorHAnsi" w:cstheme="minorHAnsi"/>
              </w:rPr>
              <w:t>ontract to ensure compliance with the UK General Data Protection Regulation and to ensure the protection of the rights of data subjects.</w:t>
            </w:r>
          </w:p>
          <w:p w14:paraId="483B6930" w14:textId="77777777"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A3F360C" w14:textId="77777777" w:rsidR="009F76CC" w:rsidRPr="009F76CC" w:rsidRDefault="009F76CC" w:rsidP="00AA0F4D">
            <w:pPr>
              <w:widowControl w:val="0"/>
              <w:numPr>
                <w:ilvl w:val="0"/>
                <w:numId w:val="43"/>
              </w:numPr>
              <w:adjustRightInd/>
              <w:spacing w:after="120"/>
              <w:rPr>
                <w:rFonts w:asciiTheme="minorHAnsi" w:hAnsiTheme="minorHAnsi" w:cstheme="minorHAnsi"/>
              </w:rPr>
            </w:pPr>
            <w:r w:rsidRPr="009F76CC">
              <w:rPr>
                <w:rFonts w:asciiTheme="minorHAnsi" w:hAnsiTheme="minorHAnsi" w:cstheme="minorHAnsi"/>
              </w:rPr>
              <w:t>to ensure ongoing confidentiality, integrity, availability and resilience of processing systems and services</w:t>
            </w:r>
          </w:p>
          <w:p w14:paraId="56093B81" w14:textId="77777777" w:rsidR="009F76CC" w:rsidRPr="009F76CC" w:rsidRDefault="009F76CC" w:rsidP="00AA0F4D">
            <w:pPr>
              <w:widowControl w:val="0"/>
              <w:numPr>
                <w:ilvl w:val="0"/>
                <w:numId w:val="43"/>
              </w:numPr>
              <w:adjustRightInd/>
              <w:spacing w:after="120"/>
              <w:rPr>
                <w:rFonts w:asciiTheme="minorHAnsi" w:hAnsiTheme="minorHAnsi" w:cstheme="minorHAnsi"/>
              </w:rPr>
            </w:pPr>
            <w:r w:rsidRPr="009F76CC">
              <w:rPr>
                <w:rFonts w:asciiTheme="minorHAnsi" w:hAnsiTheme="minorHAnsi" w:cstheme="minorHAnsi"/>
              </w:rPr>
              <w:t>to comply with the rights of data subjects in respect of receiving privacy information, and access, rectification, deletion and portability of personal data</w:t>
            </w:r>
          </w:p>
          <w:p w14:paraId="3B3CB934" w14:textId="77777777" w:rsidR="009F76CC" w:rsidRPr="009F76CC" w:rsidRDefault="009F76CC" w:rsidP="00AA0F4D">
            <w:pPr>
              <w:widowControl w:val="0"/>
              <w:numPr>
                <w:ilvl w:val="0"/>
                <w:numId w:val="43"/>
              </w:numPr>
              <w:adjustRightInd/>
              <w:spacing w:after="120"/>
              <w:rPr>
                <w:rFonts w:asciiTheme="minorHAnsi" w:hAnsiTheme="minorHAnsi" w:cstheme="minorHAnsi"/>
              </w:rPr>
            </w:pPr>
            <w:r w:rsidRPr="009F76CC">
              <w:rPr>
                <w:rFonts w:asciiTheme="minorHAnsi" w:hAnsiTheme="minorHAnsi" w:cstheme="minorHAnsi"/>
              </w:rPr>
              <w:t>to ensure that any consent based processing meets standards of active, informed consent, and that such consents are recorded and auditable</w:t>
            </w:r>
          </w:p>
          <w:p w14:paraId="2399C49A" w14:textId="77777777" w:rsidR="009F76CC" w:rsidRPr="009F76CC" w:rsidRDefault="009F76CC" w:rsidP="00AA0F4D">
            <w:pPr>
              <w:widowControl w:val="0"/>
              <w:numPr>
                <w:ilvl w:val="0"/>
                <w:numId w:val="43"/>
              </w:numPr>
              <w:adjustRightInd/>
              <w:spacing w:after="120"/>
              <w:rPr>
                <w:rFonts w:asciiTheme="minorHAnsi" w:hAnsiTheme="minorHAnsi" w:cstheme="minorHAnsi"/>
              </w:rPr>
            </w:pPr>
            <w:r w:rsidRPr="009F76CC">
              <w:rPr>
                <w:rFonts w:asciiTheme="minorHAnsi" w:hAnsiTheme="minorHAnsi" w:cstheme="minorHAnsi"/>
              </w:rPr>
              <w:t>to ensure legal safeguards are in place to legitimise transfers of personal data outside the UK (if such transfers will take place)</w:t>
            </w:r>
          </w:p>
          <w:p w14:paraId="5D181113" w14:textId="77777777" w:rsidR="009F76CC" w:rsidRPr="009F76CC" w:rsidRDefault="009F76CC" w:rsidP="00AA0F4D">
            <w:pPr>
              <w:widowControl w:val="0"/>
              <w:numPr>
                <w:ilvl w:val="0"/>
                <w:numId w:val="43"/>
              </w:numPr>
              <w:adjustRightInd/>
              <w:spacing w:after="120"/>
              <w:rPr>
                <w:rFonts w:asciiTheme="minorHAnsi" w:hAnsiTheme="minorHAnsi" w:cstheme="minorHAnsi"/>
              </w:rPr>
            </w:pPr>
            <w:r w:rsidRPr="009F76CC">
              <w:rPr>
                <w:rFonts w:asciiTheme="minorHAnsi" w:hAnsiTheme="minorHAnsi" w:cstheme="minorHAnsi"/>
              </w:rPr>
              <w:t xml:space="preserve">to maintain records of personal data processing activities </w:t>
            </w:r>
          </w:p>
          <w:p w14:paraId="7F53EA87" w14:textId="77777777" w:rsidR="009F76CC" w:rsidRPr="009F76CC" w:rsidRDefault="009F76CC" w:rsidP="00AA0F4D">
            <w:pPr>
              <w:widowControl w:val="0"/>
              <w:numPr>
                <w:ilvl w:val="0"/>
                <w:numId w:val="43"/>
              </w:numPr>
              <w:adjustRightInd/>
              <w:ind w:left="714" w:hanging="357"/>
              <w:rPr>
                <w:rFonts w:asciiTheme="minorHAnsi" w:hAnsiTheme="minorHAnsi" w:cstheme="minorHAnsi"/>
              </w:rPr>
            </w:pPr>
            <w:r w:rsidRPr="009F76CC">
              <w:rPr>
                <w:rFonts w:asciiTheme="minorHAnsi" w:hAnsiTheme="minorHAnsi" w:cstheme="minorHAnsi"/>
              </w:rPr>
              <w:t>to regularly test, assess and evaluate the effectiveness of the above measures</w:t>
            </w:r>
          </w:p>
        </w:tc>
      </w:tr>
      <w:tr w:rsidR="009F76CC" w:rsidRPr="009F76CC" w14:paraId="6793E2D5" w14:textId="77777777" w:rsidTr="001F2CCD">
        <w:trPr>
          <w:cantSplit/>
          <w:trHeight w:val="113"/>
        </w:trPr>
        <w:tc>
          <w:tcPr>
            <w:tcW w:w="650" w:type="dxa"/>
            <w:vMerge/>
            <w:tcMar>
              <w:top w:w="57" w:type="dxa"/>
              <w:left w:w="0" w:type="dxa"/>
              <w:bottom w:w="57" w:type="dxa"/>
              <w:right w:w="0" w:type="dxa"/>
            </w:tcMar>
          </w:tcPr>
          <w:p w14:paraId="673C0F75"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tcBorders>
            <w:tcMar>
              <w:top w:w="57" w:type="dxa"/>
              <w:left w:w="0" w:type="dxa"/>
              <w:bottom w:w="57" w:type="dxa"/>
              <w:right w:w="0" w:type="dxa"/>
            </w:tcMar>
          </w:tcPr>
          <w:p w14:paraId="0629E741"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Yes or No]</w:t>
            </w:r>
          </w:p>
          <w:p w14:paraId="109963BC"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information]</w:t>
            </w:r>
          </w:p>
        </w:tc>
      </w:tr>
      <w:tr w:rsidR="009F76CC" w:rsidRPr="009F76CC" w14:paraId="447AF4BB" w14:textId="77777777" w:rsidTr="001F2CCD">
        <w:trPr>
          <w:cantSplit/>
          <w:trHeight w:val="113"/>
        </w:trPr>
        <w:tc>
          <w:tcPr>
            <w:tcW w:w="9098" w:type="dxa"/>
            <w:gridSpan w:val="2"/>
            <w:shd w:val="clear" w:color="auto" w:fill="F9CFE9" w:themeFill="text1" w:themeFillTint="33"/>
            <w:tcMar>
              <w:top w:w="57" w:type="dxa"/>
              <w:left w:w="0" w:type="dxa"/>
              <w:bottom w:w="57" w:type="dxa"/>
              <w:right w:w="0" w:type="dxa"/>
            </w:tcMar>
          </w:tcPr>
          <w:p w14:paraId="2F7206C8" w14:textId="77777777" w:rsidR="009F76CC" w:rsidRPr="009F76CC" w:rsidRDefault="009F76CC" w:rsidP="0035109B">
            <w:pPr>
              <w:keepNext/>
              <w:keepLines/>
              <w:widowControl w:val="0"/>
              <w:rPr>
                <w:rFonts w:asciiTheme="minorHAnsi" w:hAnsiTheme="minorHAnsi" w:cstheme="minorHAnsi"/>
              </w:rPr>
            </w:pPr>
            <w:r w:rsidRPr="009F76CC">
              <w:rPr>
                <w:rFonts w:asciiTheme="minorHAnsi" w:hAnsiTheme="minorHAnsi" w:cstheme="minorHAnsi"/>
              </w:rPr>
              <w:lastRenderedPageBreak/>
              <w:t>Technical ability</w:t>
            </w:r>
          </w:p>
        </w:tc>
      </w:tr>
      <w:tr w:rsidR="009F76CC" w:rsidRPr="009F76CC" w14:paraId="63FF4E09" w14:textId="77777777" w:rsidTr="001F2CCD">
        <w:trPr>
          <w:cantSplit/>
          <w:trHeight w:val="113"/>
        </w:trPr>
        <w:tc>
          <w:tcPr>
            <w:tcW w:w="650" w:type="dxa"/>
            <w:vMerge w:val="restart"/>
            <w:tcMar>
              <w:top w:w="57" w:type="dxa"/>
              <w:left w:w="0" w:type="dxa"/>
              <w:bottom w:w="57" w:type="dxa"/>
              <w:right w:w="0" w:type="dxa"/>
            </w:tcMar>
          </w:tcPr>
          <w:p w14:paraId="3C0B8E1D"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bottom w:val="dashed" w:sz="4" w:space="0" w:color="auto"/>
            </w:tcBorders>
            <w:tcMar>
              <w:top w:w="57" w:type="dxa"/>
              <w:left w:w="0" w:type="dxa"/>
              <w:bottom w:w="57" w:type="dxa"/>
              <w:right w:w="0" w:type="dxa"/>
            </w:tcMar>
          </w:tcPr>
          <w:p w14:paraId="2257C2C2" w14:textId="77777777" w:rsidR="009F76CC" w:rsidRPr="009F76CC" w:rsidRDefault="009F76CC" w:rsidP="0035109B">
            <w:pPr>
              <w:widowControl w:val="0"/>
              <w:spacing w:after="120"/>
              <w:rPr>
                <w:rFonts w:asciiTheme="minorHAnsi" w:hAnsiTheme="minorHAnsi" w:cstheme="minorHAnsi"/>
                <w:b/>
                <w:bCs/>
              </w:rPr>
            </w:pPr>
            <w:r w:rsidRPr="009F76CC">
              <w:rPr>
                <w:rFonts w:asciiTheme="minorHAnsi" w:hAnsiTheme="minorHAnsi" w:cstheme="minorHAnsi"/>
                <w:b/>
                <w:bCs/>
              </w:rPr>
              <w:t>Relevant experience and contract examples</w:t>
            </w:r>
          </w:p>
          <w:p w14:paraId="1BD74640" w14:textId="3AFCD3D3" w:rsidR="009F76CC" w:rsidRPr="009F76CC" w:rsidRDefault="009F76CC" w:rsidP="0035109B">
            <w:pPr>
              <w:widowControl w:val="0"/>
              <w:spacing w:after="120"/>
              <w:rPr>
                <w:rFonts w:asciiTheme="minorHAnsi" w:hAnsiTheme="minorHAnsi" w:cstheme="minorHAnsi"/>
                <w:iCs/>
              </w:rPr>
            </w:pPr>
            <w:r w:rsidRPr="009F76CC">
              <w:rPr>
                <w:rFonts w:asciiTheme="minorHAnsi" w:hAnsiTheme="minorHAnsi" w:cstheme="minorHAnsi"/>
              </w:rPr>
              <w:t xml:space="preserve">Please provide details of up to three contracts to meet </w:t>
            </w:r>
            <w:r w:rsidR="00470907">
              <w:rPr>
                <w:rFonts w:asciiTheme="minorHAnsi" w:hAnsiTheme="minorHAnsi" w:cstheme="minorHAnsi"/>
              </w:rPr>
              <w:t>C</w:t>
            </w:r>
            <w:r w:rsidRPr="009F76CC">
              <w:rPr>
                <w:rFonts w:asciiTheme="minorHAnsi" w:hAnsiTheme="minorHAnsi" w:cstheme="minorHAnsi"/>
              </w:rPr>
              <w:t xml:space="preserve">onditions of </w:t>
            </w:r>
            <w:r w:rsidR="00470907">
              <w:rPr>
                <w:rFonts w:asciiTheme="minorHAnsi" w:hAnsiTheme="minorHAnsi" w:cstheme="minorHAnsi"/>
              </w:rPr>
              <w:t>P</w:t>
            </w:r>
            <w:r w:rsidRPr="009F76CC">
              <w:rPr>
                <w:rFonts w:asciiTheme="minorHAnsi" w:hAnsiTheme="minorHAnsi" w:cstheme="minorHAnsi"/>
              </w:rPr>
              <w:t xml:space="preserve">articipation relating to technical ability set out in the relevant notice or procurement documents, in any combination from either the public or private sectors (which </w:t>
            </w:r>
            <w:r w:rsidRPr="009F76CC">
              <w:rPr>
                <w:rFonts w:asciiTheme="minorHAnsi" w:hAnsiTheme="minorHAnsi" w:cstheme="minorHAnsi"/>
                <w:iCs/>
              </w:rPr>
              <w:t xml:space="preserve">may include samples of grant-funded work). </w:t>
            </w:r>
          </w:p>
          <w:p w14:paraId="2CAEBA73" w14:textId="77777777" w:rsidR="009F76CC" w:rsidRPr="009F76CC" w:rsidRDefault="009F76CC" w:rsidP="0035109B">
            <w:pPr>
              <w:widowControl w:val="0"/>
              <w:spacing w:after="120"/>
              <w:rPr>
                <w:rFonts w:asciiTheme="minorHAnsi" w:hAnsiTheme="minorHAnsi" w:cstheme="minorHAnsi"/>
                <w:iCs/>
              </w:rPr>
            </w:pPr>
            <w:r w:rsidRPr="009F76CC">
              <w:rPr>
                <w:rFonts w:asciiTheme="minorHAnsi" w:hAnsiTheme="minorHAnsi" w:cstheme="minorHAnsi"/>
                <w:iCs/>
              </w:rPr>
              <w:t>Where this procurement is for goods or services, the examples must be from the past three years.</w:t>
            </w:r>
          </w:p>
          <w:p w14:paraId="4633A645" w14:textId="77777777"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The named contact provided should be able to provide written evidence to confirm the accuracy of the information provided.</w:t>
            </w:r>
          </w:p>
          <w:p w14:paraId="467E6C66" w14:textId="0C23A665"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 xml:space="preserve">For consortium bids, or where you have indicated that you are relying on an </w:t>
            </w:r>
            <w:r w:rsidR="00470907">
              <w:rPr>
                <w:rFonts w:asciiTheme="minorHAnsi" w:hAnsiTheme="minorHAnsi" w:cstheme="minorHAnsi"/>
              </w:rPr>
              <w:t>A</w:t>
            </w:r>
            <w:r w:rsidRPr="009F76CC">
              <w:rPr>
                <w:rFonts w:asciiTheme="minorHAnsi" w:hAnsiTheme="minorHAnsi" w:cstheme="minorHAnsi"/>
              </w:rPr>
              <w:t xml:space="preserve">ssociated </w:t>
            </w:r>
            <w:r w:rsidR="00470907">
              <w:rPr>
                <w:rFonts w:asciiTheme="minorHAnsi" w:hAnsiTheme="minorHAnsi" w:cstheme="minorHAnsi"/>
              </w:rPr>
              <w:t>P</w:t>
            </w:r>
            <w:r w:rsidRPr="009F76CC">
              <w:rPr>
                <w:rFonts w:asciiTheme="minorHAnsi" w:hAnsiTheme="minorHAnsi" w:cstheme="minorHAnsi"/>
              </w:rPr>
              <w:t xml:space="preserve">erson to meet the technical ability, you should provide relevant examples of where the </w:t>
            </w:r>
            <w:r w:rsidR="00470907">
              <w:rPr>
                <w:rFonts w:asciiTheme="minorHAnsi" w:hAnsiTheme="minorHAnsi" w:cstheme="minorHAnsi"/>
              </w:rPr>
              <w:t>A</w:t>
            </w:r>
            <w:r w:rsidRPr="009F76CC">
              <w:rPr>
                <w:rFonts w:asciiTheme="minorHAnsi" w:hAnsiTheme="minorHAnsi" w:cstheme="minorHAnsi"/>
              </w:rPr>
              <w:t xml:space="preserve">ssociated </w:t>
            </w:r>
            <w:r w:rsidR="00470907">
              <w:rPr>
                <w:rFonts w:asciiTheme="minorHAnsi" w:hAnsiTheme="minorHAnsi" w:cstheme="minorHAnsi"/>
              </w:rPr>
              <w:t>P</w:t>
            </w:r>
            <w:r w:rsidRPr="009F76CC">
              <w:rPr>
                <w:rFonts w:asciiTheme="minorHAnsi" w:hAnsiTheme="minorHAnsi" w:cstheme="minorHAnsi"/>
              </w:rPr>
              <w:t xml:space="preserve">erson has delivered similar requirements. If this is not possible (e.g. the consortium is newly formed or a special purpose vehicle is to be created for this </w:t>
            </w:r>
            <w:r w:rsidR="00205BE8">
              <w:rPr>
                <w:rFonts w:asciiTheme="minorHAnsi" w:hAnsiTheme="minorHAnsi" w:cstheme="minorHAnsi"/>
              </w:rPr>
              <w:t>C</w:t>
            </w:r>
            <w:r w:rsidRPr="009F76CC">
              <w:rPr>
                <w:rFonts w:asciiTheme="minorHAnsi" w:hAnsiTheme="minorHAnsi" w:cstheme="minorHAnsi"/>
              </w:rPr>
              <w:t>ontract) then three separate examples should be provided between the principal member(s) of the proposed consortium or members of the special purpose vehicle or sub-contractors (three examples are not required from each member).</w:t>
            </w:r>
          </w:p>
          <w:p w14:paraId="7B115BE5" w14:textId="4B84C004" w:rsidR="009F76CC" w:rsidRPr="009F76CC" w:rsidRDefault="009F76CC" w:rsidP="0035109B">
            <w:pPr>
              <w:widowControl w:val="0"/>
              <w:spacing w:after="120"/>
              <w:rPr>
                <w:rFonts w:asciiTheme="minorHAnsi" w:hAnsiTheme="minorHAnsi" w:cstheme="minorHAnsi"/>
                <w:iCs/>
              </w:rPr>
            </w:pPr>
            <w:r w:rsidRPr="009F76CC">
              <w:rPr>
                <w:rFonts w:asciiTheme="minorHAnsi" w:hAnsiTheme="minorHAnsi" w:cstheme="minorHAnsi"/>
                <w:iCs/>
              </w:rPr>
              <w:t xml:space="preserve">If you cannot provide at least one example of previous contracts, please provide an explanation for this and how you meet the </w:t>
            </w:r>
            <w:r w:rsidR="00470907">
              <w:rPr>
                <w:rFonts w:asciiTheme="minorHAnsi" w:hAnsiTheme="minorHAnsi" w:cstheme="minorHAnsi"/>
                <w:iCs/>
              </w:rPr>
              <w:t>C</w:t>
            </w:r>
            <w:r w:rsidRPr="009F76CC">
              <w:rPr>
                <w:rFonts w:asciiTheme="minorHAnsi" w:hAnsiTheme="minorHAnsi" w:cstheme="minorHAnsi"/>
                <w:iCs/>
              </w:rPr>
              <w:t xml:space="preserve">onditions of </w:t>
            </w:r>
            <w:r w:rsidR="00470907">
              <w:rPr>
                <w:rFonts w:asciiTheme="minorHAnsi" w:hAnsiTheme="minorHAnsi" w:cstheme="minorHAnsi"/>
                <w:iCs/>
              </w:rPr>
              <w:t>P</w:t>
            </w:r>
            <w:r w:rsidRPr="009F76CC">
              <w:rPr>
                <w:rFonts w:asciiTheme="minorHAnsi" w:hAnsiTheme="minorHAnsi" w:cstheme="minorHAnsi"/>
                <w:iCs/>
              </w:rPr>
              <w:t>articipation relating to technical ability.</w:t>
            </w:r>
          </w:p>
        </w:tc>
      </w:tr>
      <w:tr w:rsidR="009F76CC" w:rsidRPr="009F76CC" w14:paraId="291935FE" w14:textId="77777777" w:rsidTr="001F2CCD">
        <w:trPr>
          <w:cantSplit/>
          <w:trHeight w:val="113"/>
        </w:trPr>
        <w:tc>
          <w:tcPr>
            <w:tcW w:w="650" w:type="dxa"/>
            <w:vMerge/>
            <w:tcBorders>
              <w:top w:val="dashed" w:sz="4" w:space="0" w:color="auto"/>
              <w:bottom w:val="single" w:sz="4" w:space="0" w:color="auto"/>
            </w:tcBorders>
            <w:tcMar>
              <w:top w:w="57" w:type="dxa"/>
              <w:left w:w="0" w:type="dxa"/>
              <w:bottom w:w="57" w:type="dxa"/>
              <w:right w:w="0" w:type="dxa"/>
            </w:tcMar>
          </w:tcPr>
          <w:p w14:paraId="54619432"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bottom w:val="single" w:sz="4" w:space="0" w:color="auto"/>
            </w:tcBorders>
            <w:tcMar>
              <w:top w:w="57" w:type="dxa"/>
              <w:left w:w="0" w:type="dxa"/>
              <w:bottom w:w="57" w:type="dxa"/>
              <w:right w:w="0" w:type="dxa"/>
            </w:tcMar>
          </w:tcPr>
          <w:p w14:paraId="3E7F35B4"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142"/>
              <w:gridCol w:w="2102"/>
              <w:gridCol w:w="2102"/>
              <w:gridCol w:w="2102"/>
            </w:tblGrid>
            <w:tr w:rsidR="009F76CC" w:rsidRPr="009F76CC" w14:paraId="5C4B42D7" w14:textId="77777777" w:rsidTr="006E544A">
              <w:tc>
                <w:tcPr>
                  <w:tcW w:w="2263" w:type="dxa"/>
                  <w:shd w:val="clear" w:color="auto" w:fill="F9CFE9" w:themeFill="text1" w:themeFillTint="33"/>
                  <w:tcMar>
                    <w:top w:w="100" w:type="dxa"/>
                    <w:left w:w="100" w:type="dxa"/>
                    <w:bottom w:w="100" w:type="dxa"/>
                    <w:right w:w="100" w:type="dxa"/>
                  </w:tcMar>
                </w:tcPr>
                <w:p w14:paraId="313C17AD" w14:textId="77777777" w:rsidR="009F76CC" w:rsidRPr="009F76CC" w:rsidRDefault="009F76CC" w:rsidP="0035109B">
                  <w:pPr>
                    <w:widowControl w:val="0"/>
                    <w:rPr>
                      <w:rFonts w:asciiTheme="minorHAnsi" w:hAnsiTheme="minorHAnsi" w:cstheme="minorHAnsi"/>
                      <w:b/>
                    </w:rPr>
                  </w:pPr>
                </w:p>
              </w:tc>
              <w:tc>
                <w:tcPr>
                  <w:tcW w:w="2219" w:type="dxa"/>
                  <w:shd w:val="clear" w:color="auto" w:fill="F9CFE9" w:themeFill="text1" w:themeFillTint="33"/>
                  <w:tcMar>
                    <w:top w:w="100" w:type="dxa"/>
                    <w:left w:w="100" w:type="dxa"/>
                    <w:bottom w:w="100" w:type="dxa"/>
                    <w:right w:w="100" w:type="dxa"/>
                  </w:tcMar>
                </w:tcPr>
                <w:p w14:paraId="69652727"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Contract 1</w:t>
                  </w:r>
                </w:p>
              </w:tc>
              <w:tc>
                <w:tcPr>
                  <w:tcW w:w="2219" w:type="dxa"/>
                  <w:shd w:val="clear" w:color="auto" w:fill="F9CFE9" w:themeFill="text1" w:themeFillTint="33"/>
                  <w:tcMar>
                    <w:top w:w="100" w:type="dxa"/>
                    <w:left w:w="100" w:type="dxa"/>
                    <w:bottom w:w="100" w:type="dxa"/>
                    <w:right w:w="100" w:type="dxa"/>
                  </w:tcMar>
                </w:tcPr>
                <w:p w14:paraId="689C052B"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Contract 2</w:t>
                  </w:r>
                </w:p>
              </w:tc>
              <w:tc>
                <w:tcPr>
                  <w:tcW w:w="2219" w:type="dxa"/>
                  <w:shd w:val="clear" w:color="auto" w:fill="F9CFE9" w:themeFill="text1" w:themeFillTint="33"/>
                  <w:tcMar>
                    <w:top w:w="100" w:type="dxa"/>
                    <w:left w:w="100" w:type="dxa"/>
                    <w:bottom w:w="100" w:type="dxa"/>
                    <w:right w:w="100" w:type="dxa"/>
                  </w:tcMar>
                </w:tcPr>
                <w:p w14:paraId="447F2214"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Contract 3</w:t>
                  </w:r>
                </w:p>
              </w:tc>
            </w:tr>
            <w:tr w:rsidR="009F76CC" w:rsidRPr="009F76CC" w14:paraId="091B97C6" w14:textId="77777777" w:rsidTr="006E544A">
              <w:tc>
                <w:tcPr>
                  <w:tcW w:w="2263" w:type="dxa"/>
                  <w:shd w:val="clear" w:color="auto" w:fill="F9CFE9" w:themeFill="text1" w:themeFillTint="33"/>
                  <w:tcMar>
                    <w:top w:w="100" w:type="dxa"/>
                    <w:left w:w="100" w:type="dxa"/>
                    <w:bottom w:w="100" w:type="dxa"/>
                    <w:right w:w="100" w:type="dxa"/>
                  </w:tcMar>
                </w:tcPr>
                <w:p w14:paraId="4E500952"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Name of customer</w:t>
                  </w:r>
                </w:p>
                <w:p w14:paraId="6F82791C"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organisation who</w:t>
                  </w:r>
                </w:p>
                <w:p w14:paraId="7B6D1DB5"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signed the contract</w:t>
                  </w:r>
                </w:p>
              </w:tc>
              <w:tc>
                <w:tcPr>
                  <w:tcW w:w="2219" w:type="dxa"/>
                  <w:shd w:val="clear" w:color="auto" w:fill="D9D9D9" w:themeFill="background1" w:themeFillShade="D9"/>
                  <w:tcMar>
                    <w:top w:w="100" w:type="dxa"/>
                    <w:left w:w="100" w:type="dxa"/>
                    <w:bottom w:w="100" w:type="dxa"/>
                    <w:right w:w="100" w:type="dxa"/>
                  </w:tcMar>
                </w:tcPr>
                <w:p w14:paraId="24199062"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03C4BB2C"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2D4D49F9" w14:textId="77777777" w:rsidR="009F76CC" w:rsidRPr="009F76CC" w:rsidRDefault="009F76CC" w:rsidP="0035109B">
                  <w:pPr>
                    <w:widowControl w:val="0"/>
                    <w:rPr>
                      <w:rFonts w:asciiTheme="minorHAnsi" w:hAnsiTheme="minorHAnsi" w:cstheme="minorHAnsi"/>
                      <w:b/>
                    </w:rPr>
                  </w:pPr>
                </w:p>
              </w:tc>
            </w:tr>
            <w:tr w:rsidR="009F76CC" w:rsidRPr="009F76CC" w14:paraId="5CE4673D" w14:textId="77777777" w:rsidTr="006E544A">
              <w:tc>
                <w:tcPr>
                  <w:tcW w:w="2263" w:type="dxa"/>
                  <w:shd w:val="clear" w:color="auto" w:fill="F9CFE9" w:themeFill="text1" w:themeFillTint="33"/>
                  <w:tcMar>
                    <w:top w:w="100" w:type="dxa"/>
                    <w:left w:w="100" w:type="dxa"/>
                    <w:bottom w:w="100" w:type="dxa"/>
                    <w:right w:w="100" w:type="dxa"/>
                  </w:tcMar>
                </w:tcPr>
                <w:p w14:paraId="029A30E5"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Name of supplier</w:t>
                  </w:r>
                </w:p>
                <w:p w14:paraId="705269E0"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who signed the</w:t>
                  </w:r>
                </w:p>
                <w:p w14:paraId="24B4A86C"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contract</w:t>
                  </w:r>
                </w:p>
              </w:tc>
              <w:tc>
                <w:tcPr>
                  <w:tcW w:w="2219" w:type="dxa"/>
                  <w:shd w:val="clear" w:color="auto" w:fill="D9D9D9" w:themeFill="background1" w:themeFillShade="D9"/>
                  <w:tcMar>
                    <w:top w:w="100" w:type="dxa"/>
                    <w:left w:w="100" w:type="dxa"/>
                    <w:bottom w:w="100" w:type="dxa"/>
                    <w:right w:w="100" w:type="dxa"/>
                  </w:tcMar>
                </w:tcPr>
                <w:p w14:paraId="41ADECF5" w14:textId="77777777" w:rsidR="009F76CC" w:rsidRPr="009F76CC" w:rsidRDefault="009F76CC" w:rsidP="0035109B">
                  <w:pPr>
                    <w:widowControl w:val="0"/>
                    <w:rPr>
                      <w:rFonts w:asciiTheme="minorHAnsi" w:hAnsiTheme="minorHAnsi" w:cstheme="minorHAnsi"/>
                    </w:rPr>
                  </w:pPr>
                </w:p>
              </w:tc>
              <w:tc>
                <w:tcPr>
                  <w:tcW w:w="2219" w:type="dxa"/>
                  <w:shd w:val="clear" w:color="auto" w:fill="D9D9D9" w:themeFill="background1" w:themeFillShade="D9"/>
                  <w:tcMar>
                    <w:top w:w="100" w:type="dxa"/>
                    <w:left w:w="100" w:type="dxa"/>
                    <w:bottom w:w="100" w:type="dxa"/>
                    <w:right w:w="100" w:type="dxa"/>
                  </w:tcMar>
                </w:tcPr>
                <w:p w14:paraId="486855E9"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65B49C7D" w14:textId="77777777" w:rsidR="009F76CC" w:rsidRPr="009F76CC" w:rsidRDefault="009F76CC" w:rsidP="0035109B">
                  <w:pPr>
                    <w:widowControl w:val="0"/>
                    <w:rPr>
                      <w:rFonts w:asciiTheme="minorHAnsi" w:hAnsiTheme="minorHAnsi" w:cstheme="minorHAnsi"/>
                      <w:b/>
                    </w:rPr>
                  </w:pPr>
                </w:p>
              </w:tc>
            </w:tr>
            <w:tr w:rsidR="009F76CC" w:rsidRPr="009F76CC" w14:paraId="70D7BFAB" w14:textId="77777777" w:rsidTr="006E544A">
              <w:tc>
                <w:tcPr>
                  <w:tcW w:w="2263" w:type="dxa"/>
                  <w:shd w:val="clear" w:color="auto" w:fill="F9CFE9" w:themeFill="text1" w:themeFillTint="33"/>
                  <w:tcMar>
                    <w:top w:w="100" w:type="dxa"/>
                    <w:left w:w="100" w:type="dxa"/>
                    <w:bottom w:w="100" w:type="dxa"/>
                    <w:right w:w="100" w:type="dxa"/>
                  </w:tcMar>
                </w:tcPr>
                <w:p w14:paraId="4159645B"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Point of contact in</w:t>
                  </w:r>
                </w:p>
                <w:p w14:paraId="1D6BBEB1"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the customer’s</w:t>
                  </w:r>
                </w:p>
                <w:p w14:paraId="497F58A7"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organisation</w:t>
                  </w:r>
                </w:p>
              </w:tc>
              <w:tc>
                <w:tcPr>
                  <w:tcW w:w="2219" w:type="dxa"/>
                  <w:shd w:val="clear" w:color="auto" w:fill="D9D9D9" w:themeFill="background1" w:themeFillShade="D9"/>
                  <w:tcMar>
                    <w:top w:w="100" w:type="dxa"/>
                    <w:left w:w="100" w:type="dxa"/>
                    <w:bottom w:w="100" w:type="dxa"/>
                    <w:right w:w="100" w:type="dxa"/>
                  </w:tcMar>
                </w:tcPr>
                <w:p w14:paraId="3578DC08"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789DDED1"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5B79F5CE" w14:textId="77777777" w:rsidR="009F76CC" w:rsidRPr="009F76CC" w:rsidRDefault="009F76CC" w:rsidP="0035109B">
                  <w:pPr>
                    <w:widowControl w:val="0"/>
                    <w:rPr>
                      <w:rFonts w:asciiTheme="minorHAnsi" w:hAnsiTheme="minorHAnsi" w:cstheme="minorHAnsi"/>
                      <w:b/>
                    </w:rPr>
                  </w:pPr>
                </w:p>
              </w:tc>
            </w:tr>
            <w:tr w:rsidR="009F76CC" w:rsidRPr="009F76CC" w14:paraId="3F215B42" w14:textId="77777777" w:rsidTr="006E544A">
              <w:tc>
                <w:tcPr>
                  <w:tcW w:w="2263" w:type="dxa"/>
                  <w:shd w:val="clear" w:color="auto" w:fill="F9CFE9" w:themeFill="text1" w:themeFillTint="33"/>
                  <w:tcMar>
                    <w:top w:w="100" w:type="dxa"/>
                    <w:left w:w="100" w:type="dxa"/>
                    <w:bottom w:w="100" w:type="dxa"/>
                    <w:right w:w="100" w:type="dxa"/>
                  </w:tcMar>
                </w:tcPr>
                <w:p w14:paraId="1FE0E92D"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Position in the</w:t>
                  </w:r>
                </w:p>
                <w:p w14:paraId="125E261D"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customer’s</w:t>
                  </w:r>
                </w:p>
                <w:p w14:paraId="40E8D3F1"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organisation</w:t>
                  </w:r>
                </w:p>
              </w:tc>
              <w:tc>
                <w:tcPr>
                  <w:tcW w:w="2219" w:type="dxa"/>
                  <w:shd w:val="clear" w:color="auto" w:fill="D9D9D9" w:themeFill="background1" w:themeFillShade="D9"/>
                  <w:tcMar>
                    <w:top w:w="100" w:type="dxa"/>
                    <w:left w:w="100" w:type="dxa"/>
                    <w:bottom w:w="100" w:type="dxa"/>
                    <w:right w:w="100" w:type="dxa"/>
                  </w:tcMar>
                </w:tcPr>
                <w:p w14:paraId="3F17A13D"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08916F17"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4E5F753C" w14:textId="77777777" w:rsidR="009F76CC" w:rsidRPr="009F76CC" w:rsidRDefault="009F76CC" w:rsidP="0035109B">
                  <w:pPr>
                    <w:widowControl w:val="0"/>
                    <w:rPr>
                      <w:rFonts w:asciiTheme="minorHAnsi" w:hAnsiTheme="minorHAnsi" w:cstheme="minorHAnsi"/>
                      <w:b/>
                    </w:rPr>
                  </w:pPr>
                </w:p>
              </w:tc>
            </w:tr>
            <w:tr w:rsidR="009F76CC" w:rsidRPr="009F76CC" w14:paraId="5417DDA2" w14:textId="77777777" w:rsidTr="006E544A">
              <w:tc>
                <w:tcPr>
                  <w:tcW w:w="2263" w:type="dxa"/>
                  <w:shd w:val="clear" w:color="auto" w:fill="F9CFE9" w:themeFill="text1" w:themeFillTint="33"/>
                  <w:tcMar>
                    <w:top w:w="100" w:type="dxa"/>
                    <w:left w:w="100" w:type="dxa"/>
                    <w:bottom w:w="100" w:type="dxa"/>
                    <w:right w:w="100" w:type="dxa"/>
                  </w:tcMar>
                </w:tcPr>
                <w:p w14:paraId="7DB6D25B"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Email address</w:t>
                  </w:r>
                </w:p>
              </w:tc>
              <w:tc>
                <w:tcPr>
                  <w:tcW w:w="2219" w:type="dxa"/>
                  <w:shd w:val="clear" w:color="auto" w:fill="D9D9D9" w:themeFill="background1" w:themeFillShade="D9"/>
                  <w:tcMar>
                    <w:top w:w="100" w:type="dxa"/>
                    <w:left w:w="100" w:type="dxa"/>
                    <w:bottom w:w="100" w:type="dxa"/>
                    <w:right w:w="100" w:type="dxa"/>
                  </w:tcMar>
                </w:tcPr>
                <w:p w14:paraId="69B0F606"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44DB45E1"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2B14B2B0" w14:textId="77777777" w:rsidR="009F76CC" w:rsidRPr="009F76CC" w:rsidRDefault="009F76CC" w:rsidP="0035109B">
                  <w:pPr>
                    <w:widowControl w:val="0"/>
                    <w:rPr>
                      <w:rFonts w:asciiTheme="minorHAnsi" w:hAnsiTheme="minorHAnsi" w:cstheme="minorHAnsi"/>
                      <w:b/>
                    </w:rPr>
                  </w:pPr>
                </w:p>
              </w:tc>
            </w:tr>
            <w:tr w:rsidR="009F76CC" w:rsidRPr="009F76CC" w14:paraId="4C69E24F" w14:textId="77777777" w:rsidTr="006E544A">
              <w:tc>
                <w:tcPr>
                  <w:tcW w:w="2263" w:type="dxa"/>
                  <w:shd w:val="clear" w:color="auto" w:fill="F9CFE9" w:themeFill="text1" w:themeFillTint="33"/>
                  <w:tcMar>
                    <w:top w:w="100" w:type="dxa"/>
                    <w:left w:w="100" w:type="dxa"/>
                    <w:bottom w:w="100" w:type="dxa"/>
                    <w:right w:w="100" w:type="dxa"/>
                  </w:tcMar>
                </w:tcPr>
                <w:p w14:paraId="329E6592"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Description of</w:t>
                  </w:r>
                </w:p>
                <w:p w14:paraId="01AB6417"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contract</w:t>
                  </w:r>
                </w:p>
              </w:tc>
              <w:tc>
                <w:tcPr>
                  <w:tcW w:w="2219" w:type="dxa"/>
                  <w:shd w:val="clear" w:color="auto" w:fill="D9D9D9" w:themeFill="background1" w:themeFillShade="D9"/>
                  <w:tcMar>
                    <w:top w:w="100" w:type="dxa"/>
                    <w:left w:w="100" w:type="dxa"/>
                    <w:bottom w:w="100" w:type="dxa"/>
                    <w:right w:w="100" w:type="dxa"/>
                  </w:tcMar>
                </w:tcPr>
                <w:p w14:paraId="272B75DD"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495558E8"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6A40A0E8" w14:textId="77777777" w:rsidR="009F76CC" w:rsidRPr="009F76CC" w:rsidRDefault="009F76CC" w:rsidP="0035109B">
                  <w:pPr>
                    <w:widowControl w:val="0"/>
                    <w:rPr>
                      <w:rFonts w:asciiTheme="minorHAnsi" w:hAnsiTheme="minorHAnsi" w:cstheme="minorHAnsi"/>
                      <w:b/>
                    </w:rPr>
                  </w:pPr>
                </w:p>
              </w:tc>
            </w:tr>
            <w:tr w:rsidR="009F76CC" w:rsidRPr="009F76CC" w14:paraId="73E1F783" w14:textId="77777777" w:rsidTr="006E544A">
              <w:tc>
                <w:tcPr>
                  <w:tcW w:w="2263" w:type="dxa"/>
                  <w:shd w:val="clear" w:color="auto" w:fill="F9CFE9" w:themeFill="text1" w:themeFillTint="33"/>
                  <w:tcMar>
                    <w:top w:w="100" w:type="dxa"/>
                    <w:left w:w="100" w:type="dxa"/>
                    <w:bottom w:w="100" w:type="dxa"/>
                    <w:right w:w="100" w:type="dxa"/>
                  </w:tcMar>
                </w:tcPr>
                <w:p w14:paraId="151BDE79"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Contract start date</w:t>
                  </w:r>
                </w:p>
              </w:tc>
              <w:tc>
                <w:tcPr>
                  <w:tcW w:w="2219" w:type="dxa"/>
                  <w:shd w:val="clear" w:color="auto" w:fill="D9D9D9" w:themeFill="background1" w:themeFillShade="D9"/>
                  <w:tcMar>
                    <w:top w:w="100" w:type="dxa"/>
                    <w:left w:w="100" w:type="dxa"/>
                    <w:bottom w:w="100" w:type="dxa"/>
                    <w:right w:w="100" w:type="dxa"/>
                  </w:tcMar>
                </w:tcPr>
                <w:p w14:paraId="69327F67"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514E7C24"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4AFD563B" w14:textId="77777777" w:rsidR="009F76CC" w:rsidRPr="009F76CC" w:rsidRDefault="009F76CC" w:rsidP="0035109B">
                  <w:pPr>
                    <w:widowControl w:val="0"/>
                    <w:rPr>
                      <w:rFonts w:asciiTheme="minorHAnsi" w:hAnsiTheme="minorHAnsi" w:cstheme="minorHAnsi"/>
                      <w:b/>
                    </w:rPr>
                  </w:pPr>
                </w:p>
              </w:tc>
            </w:tr>
            <w:tr w:rsidR="009F76CC" w:rsidRPr="009F76CC" w14:paraId="14C2A085" w14:textId="77777777" w:rsidTr="006E544A">
              <w:tc>
                <w:tcPr>
                  <w:tcW w:w="2263" w:type="dxa"/>
                  <w:shd w:val="clear" w:color="auto" w:fill="F9CFE9" w:themeFill="text1" w:themeFillTint="33"/>
                  <w:tcMar>
                    <w:top w:w="100" w:type="dxa"/>
                    <w:left w:w="100" w:type="dxa"/>
                    <w:bottom w:w="100" w:type="dxa"/>
                    <w:right w:w="100" w:type="dxa"/>
                  </w:tcMar>
                </w:tcPr>
                <w:p w14:paraId="3EE153E0"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Contract completion date</w:t>
                  </w:r>
                </w:p>
              </w:tc>
              <w:tc>
                <w:tcPr>
                  <w:tcW w:w="2219" w:type="dxa"/>
                  <w:shd w:val="clear" w:color="auto" w:fill="D9D9D9" w:themeFill="background1" w:themeFillShade="D9"/>
                  <w:tcMar>
                    <w:top w:w="100" w:type="dxa"/>
                    <w:left w:w="100" w:type="dxa"/>
                    <w:bottom w:w="100" w:type="dxa"/>
                    <w:right w:w="100" w:type="dxa"/>
                  </w:tcMar>
                </w:tcPr>
                <w:p w14:paraId="655B98CE"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06020E47"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17EA5B70" w14:textId="77777777" w:rsidR="009F76CC" w:rsidRPr="009F76CC" w:rsidRDefault="009F76CC" w:rsidP="0035109B">
                  <w:pPr>
                    <w:widowControl w:val="0"/>
                    <w:rPr>
                      <w:rFonts w:asciiTheme="minorHAnsi" w:hAnsiTheme="minorHAnsi" w:cstheme="minorHAnsi"/>
                      <w:b/>
                    </w:rPr>
                  </w:pPr>
                </w:p>
              </w:tc>
            </w:tr>
            <w:tr w:rsidR="009F76CC" w:rsidRPr="009F76CC" w14:paraId="0ED0AB5F" w14:textId="77777777" w:rsidTr="006E544A">
              <w:tc>
                <w:tcPr>
                  <w:tcW w:w="2263" w:type="dxa"/>
                  <w:shd w:val="clear" w:color="auto" w:fill="F9CFE9" w:themeFill="text1" w:themeFillTint="33"/>
                  <w:tcMar>
                    <w:top w:w="100" w:type="dxa"/>
                    <w:left w:w="100" w:type="dxa"/>
                    <w:bottom w:w="100" w:type="dxa"/>
                    <w:right w:w="100" w:type="dxa"/>
                  </w:tcMar>
                </w:tcPr>
                <w:p w14:paraId="0994D713"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Estimated contract</w:t>
                  </w:r>
                </w:p>
                <w:p w14:paraId="2E0BB5B1" w14:textId="77777777" w:rsidR="009F76CC" w:rsidRPr="009F76CC" w:rsidRDefault="009F76CC" w:rsidP="0035109B">
                  <w:pPr>
                    <w:widowControl w:val="0"/>
                    <w:rPr>
                      <w:rFonts w:asciiTheme="minorHAnsi" w:hAnsiTheme="minorHAnsi" w:cstheme="minorHAnsi"/>
                      <w:b/>
                    </w:rPr>
                  </w:pPr>
                  <w:r w:rsidRPr="009F76CC">
                    <w:rPr>
                      <w:rFonts w:asciiTheme="minorHAnsi" w:hAnsiTheme="minorHAnsi" w:cstheme="minorHAnsi"/>
                      <w:b/>
                    </w:rPr>
                    <w:t>value</w:t>
                  </w:r>
                </w:p>
              </w:tc>
              <w:tc>
                <w:tcPr>
                  <w:tcW w:w="2219" w:type="dxa"/>
                  <w:shd w:val="clear" w:color="auto" w:fill="D9D9D9" w:themeFill="background1" w:themeFillShade="D9"/>
                  <w:tcMar>
                    <w:top w:w="100" w:type="dxa"/>
                    <w:left w:w="100" w:type="dxa"/>
                    <w:bottom w:w="100" w:type="dxa"/>
                    <w:right w:w="100" w:type="dxa"/>
                  </w:tcMar>
                </w:tcPr>
                <w:p w14:paraId="12460D36"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24759627" w14:textId="77777777" w:rsidR="009F76CC" w:rsidRPr="009F76CC" w:rsidRDefault="009F76CC" w:rsidP="0035109B">
                  <w:pPr>
                    <w:widowControl w:val="0"/>
                    <w:rPr>
                      <w:rFonts w:asciiTheme="minorHAnsi" w:hAnsiTheme="minorHAnsi" w:cstheme="minorHAnsi"/>
                      <w:b/>
                    </w:rPr>
                  </w:pPr>
                </w:p>
              </w:tc>
              <w:tc>
                <w:tcPr>
                  <w:tcW w:w="2219" w:type="dxa"/>
                  <w:shd w:val="clear" w:color="auto" w:fill="D9D9D9" w:themeFill="background1" w:themeFillShade="D9"/>
                  <w:tcMar>
                    <w:top w:w="100" w:type="dxa"/>
                    <w:left w:w="100" w:type="dxa"/>
                    <w:bottom w:w="100" w:type="dxa"/>
                    <w:right w:w="100" w:type="dxa"/>
                  </w:tcMar>
                </w:tcPr>
                <w:p w14:paraId="4E0E1F39" w14:textId="77777777" w:rsidR="009F76CC" w:rsidRPr="009F76CC" w:rsidRDefault="009F76CC" w:rsidP="0035109B">
                  <w:pPr>
                    <w:widowControl w:val="0"/>
                    <w:rPr>
                      <w:rFonts w:asciiTheme="minorHAnsi" w:hAnsiTheme="minorHAnsi" w:cstheme="minorHAnsi"/>
                      <w:b/>
                    </w:rPr>
                  </w:pPr>
                </w:p>
              </w:tc>
            </w:tr>
          </w:tbl>
          <w:p w14:paraId="764B10EF" w14:textId="77777777" w:rsidR="009F76CC" w:rsidRPr="009F76CC" w:rsidRDefault="009F76CC" w:rsidP="0035109B">
            <w:pPr>
              <w:widowControl w:val="0"/>
              <w:rPr>
                <w:rFonts w:asciiTheme="minorHAnsi" w:hAnsiTheme="minorHAnsi" w:cstheme="minorHAnsi"/>
                <w:b/>
              </w:rPr>
            </w:pP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99"/>
            </w:tblGrid>
            <w:tr w:rsidR="009F76CC" w:rsidRPr="009F76CC" w14:paraId="73BDDBAC" w14:textId="77777777" w:rsidTr="0035109B">
              <w:trPr>
                <w:trHeight w:val="1129"/>
              </w:trPr>
              <w:tc>
                <w:tcPr>
                  <w:tcW w:w="819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8D58E38" w14:textId="7907ECEF" w:rsidR="009F76CC" w:rsidRPr="009F76CC" w:rsidRDefault="009F76CC" w:rsidP="0035109B">
                  <w:pPr>
                    <w:widowControl w:val="0"/>
                    <w:rPr>
                      <w:rFonts w:asciiTheme="minorHAnsi" w:hAnsiTheme="minorHAnsi" w:cstheme="minorHAnsi"/>
                      <w:b/>
                      <w:iCs/>
                    </w:rPr>
                  </w:pPr>
                  <w:r w:rsidRPr="009F76CC">
                    <w:rPr>
                      <w:rFonts w:asciiTheme="minorHAnsi" w:hAnsiTheme="minorHAnsi" w:cstheme="minorHAnsi"/>
                      <w:b/>
                      <w:iCs/>
                    </w:rPr>
                    <w:t xml:space="preserve">[If you cannot provide at least one example of previous contracts that are relevant to the requirement, in no more than 500 words please provide an explanation for this and how you meet the </w:t>
                  </w:r>
                  <w:r w:rsidR="00470907">
                    <w:rPr>
                      <w:rFonts w:asciiTheme="minorHAnsi" w:hAnsiTheme="minorHAnsi" w:cstheme="minorHAnsi"/>
                      <w:b/>
                      <w:iCs/>
                    </w:rPr>
                    <w:t>C</w:t>
                  </w:r>
                  <w:r w:rsidRPr="009F76CC">
                    <w:rPr>
                      <w:rFonts w:asciiTheme="minorHAnsi" w:hAnsiTheme="minorHAnsi" w:cstheme="minorHAnsi"/>
                      <w:b/>
                      <w:iCs/>
                    </w:rPr>
                    <w:t xml:space="preserve">onditions of </w:t>
                  </w:r>
                  <w:r w:rsidR="00470907">
                    <w:rPr>
                      <w:rFonts w:asciiTheme="minorHAnsi" w:hAnsiTheme="minorHAnsi" w:cstheme="minorHAnsi"/>
                      <w:b/>
                      <w:iCs/>
                    </w:rPr>
                    <w:t>P</w:t>
                  </w:r>
                  <w:r w:rsidRPr="009F76CC">
                    <w:rPr>
                      <w:rFonts w:asciiTheme="minorHAnsi" w:hAnsiTheme="minorHAnsi" w:cstheme="minorHAnsi"/>
                      <w:b/>
                      <w:iCs/>
                    </w:rPr>
                    <w:t>articipation relating to technical ability – e.g. your organisation is a new start-up or you have provided services in the past but not under a contract.]</w:t>
                  </w:r>
                </w:p>
              </w:tc>
            </w:tr>
          </w:tbl>
          <w:p w14:paraId="55A153D0" w14:textId="77777777" w:rsidR="009F76CC" w:rsidRPr="009F76CC" w:rsidRDefault="009F76CC" w:rsidP="0035109B">
            <w:pPr>
              <w:widowControl w:val="0"/>
              <w:rPr>
                <w:rFonts w:asciiTheme="minorHAnsi" w:hAnsiTheme="minorHAnsi" w:cstheme="minorHAnsi"/>
                <w:b/>
              </w:rPr>
            </w:pPr>
          </w:p>
        </w:tc>
      </w:tr>
      <w:tr w:rsidR="009F76CC" w:rsidRPr="009F76CC" w14:paraId="6E692862"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47392C89"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776E66BF" w14:textId="77777777" w:rsidR="009F76CC" w:rsidRPr="009F76CC" w:rsidRDefault="009F76CC" w:rsidP="0035109B">
            <w:pPr>
              <w:widowControl w:val="0"/>
              <w:rPr>
                <w:rFonts w:asciiTheme="minorHAnsi" w:hAnsiTheme="minorHAnsi" w:cstheme="minorHAnsi"/>
                <w:b/>
                <w:bCs/>
              </w:rPr>
            </w:pPr>
            <w:r w:rsidRPr="009F76CC">
              <w:rPr>
                <w:rFonts w:asciiTheme="minorHAnsi" w:hAnsiTheme="minorHAnsi" w:cstheme="minorHAnsi"/>
                <w:b/>
                <w:bCs/>
              </w:rPr>
              <w:t>Experience of sub-contractor management</w:t>
            </w:r>
          </w:p>
          <w:p w14:paraId="6168AB90" w14:textId="01A57C1F" w:rsidR="009F76CC" w:rsidRPr="009F76CC" w:rsidRDefault="009F76CC" w:rsidP="0035109B">
            <w:pPr>
              <w:widowControl w:val="0"/>
              <w:rPr>
                <w:rFonts w:asciiTheme="minorHAnsi" w:hAnsiTheme="minorHAnsi" w:cstheme="minorHAnsi"/>
              </w:rPr>
            </w:pPr>
            <w:r w:rsidRPr="009F76CC">
              <w:rPr>
                <w:rFonts w:asciiTheme="minorHAnsi" w:hAnsiTheme="minorHAnsi" w:cstheme="minorHAnsi"/>
              </w:rPr>
              <w:t xml:space="preserve">Where you intend to sub-contract a proportion of the </w:t>
            </w:r>
            <w:r w:rsidR="00205BE8">
              <w:rPr>
                <w:rFonts w:asciiTheme="minorHAnsi" w:hAnsiTheme="minorHAnsi" w:cstheme="minorHAnsi"/>
              </w:rPr>
              <w:t>C</w:t>
            </w:r>
            <w:r w:rsidRPr="009F76CC">
              <w:rPr>
                <w:rFonts w:asciiTheme="minorHAnsi" w:hAnsiTheme="minorHAnsi" w:cstheme="minorHAnsi"/>
              </w:rPr>
              <w:t xml:space="preserve">ontract, please demonstrate how you have previously maintained healthy supply chains with your sub-contractor(s) (which may be the </w:t>
            </w:r>
            <w:r w:rsidR="00470907">
              <w:rPr>
                <w:rFonts w:asciiTheme="minorHAnsi" w:hAnsiTheme="minorHAnsi" w:cstheme="minorHAnsi"/>
              </w:rPr>
              <w:t>I</w:t>
            </w:r>
            <w:r w:rsidRPr="009F76CC">
              <w:rPr>
                <w:rFonts w:asciiTheme="minorHAnsi" w:hAnsiTheme="minorHAnsi" w:cstheme="minorHAnsi"/>
              </w:rPr>
              <w:t xml:space="preserve">ntended </w:t>
            </w:r>
            <w:r w:rsidR="00470907">
              <w:rPr>
                <w:rFonts w:asciiTheme="minorHAnsi" w:hAnsiTheme="minorHAnsi" w:cstheme="minorHAnsi"/>
              </w:rPr>
              <w:t>S</w:t>
            </w:r>
            <w:r w:rsidRPr="009F76CC">
              <w:rPr>
                <w:rFonts w:asciiTheme="minorHAnsi" w:hAnsiTheme="minorHAnsi" w:cstheme="minorHAnsi"/>
              </w:rPr>
              <w:t>ub-contractor(s) for this procurement or any others used previously).</w:t>
            </w:r>
          </w:p>
          <w:p w14:paraId="078AAF06" w14:textId="449769FC" w:rsidR="009F76CC" w:rsidRPr="009F76CC" w:rsidRDefault="009F76CC" w:rsidP="0035109B">
            <w:pPr>
              <w:widowControl w:val="0"/>
              <w:rPr>
                <w:rFonts w:asciiTheme="minorHAnsi" w:hAnsiTheme="minorHAnsi" w:cstheme="minorHAnsi"/>
              </w:rPr>
            </w:pPr>
            <w:r w:rsidRPr="009F76CC">
              <w:rPr>
                <w:rFonts w:asciiTheme="minorHAnsi" w:hAnsiTheme="minorHAnsi" w:cstheme="minorHAnsi"/>
              </w:rPr>
              <w:t xml:space="preserve">The description should include the procedures you use to ensure performance of the </w:t>
            </w:r>
            <w:r w:rsidR="00205BE8">
              <w:rPr>
                <w:rFonts w:asciiTheme="minorHAnsi" w:hAnsiTheme="minorHAnsi" w:cstheme="minorHAnsi"/>
              </w:rPr>
              <w:t>C</w:t>
            </w:r>
            <w:r w:rsidRPr="009F76CC">
              <w:rPr>
                <w:rFonts w:asciiTheme="minorHAnsi" w:hAnsiTheme="minorHAnsi" w:cstheme="minorHAnsi"/>
              </w:rPr>
              <w:t>ontract.</w:t>
            </w:r>
          </w:p>
        </w:tc>
      </w:tr>
      <w:tr w:rsidR="009F76CC" w:rsidRPr="009F76CC" w14:paraId="1B9B5F32"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533F2213"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bottom w:val="single" w:sz="4" w:space="0" w:color="auto"/>
            </w:tcBorders>
            <w:tcMar>
              <w:top w:w="57" w:type="dxa"/>
              <w:left w:w="0" w:type="dxa"/>
              <w:bottom w:w="57" w:type="dxa"/>
              <w:right w:w="0" w:type="dxa"/>
            </w:tcMar>
          </w:tcPr>
          <w:p w14:paraId="380B1117"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information]</w:t>
            </w:r>
          </w:p>
        </w:tc>
      </w:tr>
      <w:tr w:rsidR="009F76CC" w:rsidRPr="009F76CC" w14:paraId="2B41717A"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329FD1B7"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383D1713" w14:textId="77777777" w:rsidR="009F76CC" w:rsidRPr="009F76CC" w:rsidRDefault="009F76CC" w:rsidP="0035109B">
            <w:pPr>
              <w:widowControl w:val="0"/>
              <w:rPr>
                <w:rFonts w:asciiTheme="minorHAnsi" w:hAnsiTheme="minorHAnsi" w:cstheme="minorHAnsi"/>
                <w:b/>
                <w:bCs/>
              </w:rPr>
            </w:pPr>
            <w:r w:rsidRPr="009F76CC">
              <w:rPr>
                <w:rFonts w:asciiTheme="minorHAnsi" w:hAnsiTheme="minorHAnsi" w:cstheme="minorHAnsi"/>
                <w:b/>
                <w:bCs/>
              </w:rPr>
              <w:t>Organisational standards</w:t>
            </w:r>
          </w:p>
          <w:p w14:paraId="1AAAF338" w14:textId="77777777" w:rsidR="009F76CC" w:rsidRPr="009F76CC" w:rsidRDefault="009F76CC" w:rsidP="0035109B">
            <w:pPr>
              <w:widowControl w:val="0"/>
              <w:rPr>
                <w:rFonts w:asciiTheme="minorHAnsi" w:hAnsiTheme="minorHAnsi" w:cstheme="minorHAnsi"/>
              </w:rPr>
            </w:pPr>
            <w:r w:rsidRPr="009F76CC">
              <w:rPr>
                <w:rFonts w:asciiTheme="minorHAnsi" w:hAnsiTheme="minorHAnsi" w:cstheme="minorHAnsi"/>
              </w:rPr>
              <w:t xml:space="preserve">Where conditions of participation have specified organisational qualifications or standards, please provide details of how these are met, or other equivalent standards that equal or exceed what has been requested. </w:t>
            </w:r>
          </w:p>
        </w:tc>
      </w:tr>
      <w:tr w:rsidR="009F76CC" w:rsidRPr="009F76CC" w14:paraId="74D82830"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08AB2FC3"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bottom w:val="single" w:sz="4" w:space="0" w:color="auto"/>
            </w:tcBorders>
            <w:tcMar>
              <w:top w:w="57" w:type="dxa"/>
              <w:left w:w="0" w:type="dxa"/>
              <w:bottom w:w="57" w:type="dxa"/>
              <w:right w:w="0" w:type="dxa"/>
            </w:tcMar>
          </w:tcPr>
          <w:p w14:paraId="2A540889"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information]</w:t>
            </w:r>
          </w:p>
        </w:tc>
      </w:tr>
      <w:tr w:rsidR="009F76CC" w:rsidRPr="009F76CC" w14:paraId="61861A27" w14:textId="77777777" w:rsidTr="001F2CCD">
        <w:trPr>
          <w:cantSplit/>
          <w:trHeight w:val="113"/>
        </w:trPr>
        <w:tc>
          <w:tcPr>
            <w:tcW w:w="650" w:type="dxa"/>
            <w:vMerge w:val="restart"/>
            <w:tcBorders>
              <w:top w:val="single" w:sz="4" w:space="0" w:color="auto"/>
            </w:tcBorders>
            <w:tcMar>
              <w:top w:w="57" w:type="dxa"/>
              <w:left w:w="0" w:type="dxa"/>
              <w:bottom w:w="57" w:type="dxa"/>
              <w:right w:w="0" w:type="dxa"/>
            </w:tcMar>
          </w:tcPr>
          <w:p w14:paraId="238AB106"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top w:val="single" w:sz="4" w:space="0" w:color="auto"/>
              <w:bottom w:val="dashed" w:sz="4" w:space="0" w:color="auto"/>
            </w:tcBorders>
            <w:tcMar>
              <w:top w:w="57" w:type="dxa"/>
              <w:left w:w="0" w:type="dxa"/>
              <w:bottom w:w="57" w:type="dxa"/>
              <w:right w:w="0" w:type="dxa"/>
            </w:tcMar>
          </w:tcPr>
          <w:p w14:paraId="1AB60920" w14:textId="77777777" w:rsidR="009F76CC" w:rsidRPr="009F76CC" w:rsidRDefault="009F76CC" w:rsidP="0035109B">
            <w:pPr>
              <w:widowControl w:val="0"/>
              <w:rPr>
                <w:rFonts w:asciiTheme="minorHAnsi" w:hAnsiTheme="minorHAnsi" w:cstheme="minorHAnsi"/>
                <w:b/>
                <w:bCs/>
              </w:rPr>
            </w:pPr>
            <w:r w:rsidRPr="009F76CC">
              <w:rPr>
                <w:rFonts w:asciiTheme="minorHAnsi" w:hAnsiTheme="minorHAnsi" w:cstheme="minorHAnsi"/>
                <w:b/>
                <w:bCs/>
              </w:rPr>
              <w:t>Health and safety</w:t>
            </w:r>
          </w:p>
          <w:p w14:paraId="5488D136" w14:textId="7FC9AF47" w:rsidR="009F76CC" w:rsidRPr="009F76CC" w:rsidRDefault="009F76CC" w:rsidP="0035109B">
            <w:pPr>
              <w:widowControl w:val="0"/>
              <w:rPr>
                <w:rFonts w:asciiTheme="minorHAnsi" w:hAnsiTheme="minorHAnsi" w:cstheme="minorHAnsi"/>
              </w:rPr>
            </w:pPr>
            <w:r w:rsidRPr="009F76CC">
              <w:rPr>
                <w:rFonts w:asciiTheme="minorHAnsi" w:hAnsiTheme="minorHAnsi" w:cstheme="minorHAnsi"/>
              </w:rPr>
              <w:t xml:space="preserve">Please describe the arrangements you have in place to manage health and safety effectively and control significant risks relevant to the contract (including risks from the use of </w:t>
            </w:r>
            <w:r w:rsidR="00205BE8">
              <w:rPr>
                <w:rFonts w:asciiTheme="minorHAnsi" w:hAnsiTheme="minorHAnsi" w:cstheme="minorHAnsi"/>
              </w:rPr>
              <w:t>C</w:t>
            </w:r>
            <w:r w:rsidRPr="009F76CC">
              <w:rPr>
                <w:rFonts w:asciiTheme="minorHAnsi" w:hAnsiTheme="minorHAnsi" w:cstheme="minorHAnsi"/>
              </w:rPr>
              <w:t>ontractors, where relevant).</w:t>
            </w:r>
          </w:p>
          <w:p w14:paraId="1FCEF47D" w14:textId="77777777" w:rsidR="009F76CC" w:rsidRPr="009F76CC" w:rsidRDefault="009F76CC" w:rsidP="0035109B">
            <w:pPr>
              <w:widowControl w:val="0"/>
              <w:rPr>
                <w:rFonts w:asciiTheme="minorHAnsi" w:hAnsiTheme="minorHAnsi" w:cstheme="minorHAnsi"/>
              </w:rPr>
            </w:pPr>
          </w:p>
        </w:tc>
      </w:tr>
      <w:tr w:rsidR="009F76CC" w:rsidRPr="009F76CC" w14:paraId="719055D9" w14:textId="77777777" w:rsidTr="001F2CCD">
        <w:trPr>
          <w:cantSplit/>
          <w:trHeight w:val="113"/>
        </w:trPr>
        <w:tc>
          <w:tcPr>
            <w:tcW w:w="650" w:type="dxa"/>
            <w:vMerge/>
            <w:tcBorders>
              <w:bottom w:val="single" w:sz="4" w:space="0" w:color="auto"/>
            </w:tcBorders>
            <w:tcMar>
              <w:top w:w="57" w:type="dxa"/>
              <w:left w:w="0" w:type="dxa"/>
              <w:bottom w:w="57" w:type="dxa"/>
              <w:right w:w="0" w:type="dxa"/>
            </w:tcMar>
          </w:tcPr>
          <w:p w14:paraId="70A63397"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bottom w:val="single" w:sz="4" w:space="0" w:color="auto"/>
            </w:tcBorders>
            <w:tcMar>
              <w:top w:w="57" w:type="dxa"/>
              <w:left w:w="0" w:type="dxa"/>
              <w:bottom w:w="57" w:type="dxa"/>
              <w:right w:w="0" w:type="dxa"/>
            </w:tcMar>
          </w:tcPr>
          <w:p w14:paraId="33161780" w14:textId="77777777" w:rsidR="009F76CC" w:rsidRPr="009F76CC" w:rsidRDefault="009F76CC" w:rsidP="0035109B">
            <w:pPr>
              <w:widowControl w:val="0"/>
              <w:spacing w:after="120"/>
              <w:rPr>
                <w:rFonts w:asciiTheme="minorHAnsi" w:hAnsiTheme="minorHAnsi" w:cstheme="minorHAnsi"/>
                <w:b/>
              </w:rPr>
            </w:pPr>
            <w:r w:rsidRPr="009F76CC">
              <w:rPr>
                <w:rFonts w:asciiTheme="minorHAnsi" w:hAnsiTheme="minorHAnsi" w:cstheme="minorHAnsi"/>
                <w:b/>
              </w:rPr>
              <w:t>[Insert information]</w:t>
            </w:r>
          </w:p>
        </w:tc>
      </w:tr>
      <w:tr w:rsidR="009F76CC" w:rsidRPr="009F76CC" w14:paraId="67CBE9CC" w14:textId="77777777" w:rsidTr="001F2CCD">
        <w:trPr>
          <w:cantSplit/>
          <w:trHeight w:val="113"/>
        </w:trPr>
        <w:tc>
          <w:tcPr>
            <w:tcW w:w="9098" w:type="dxa"/>
            <w:gridSpan w:val="2"/>
            <w:tcBorders>
              <w:top w:val="single" w:sz="4" w:space="0" w:color="auto"/>
            </w:tcBorders>
            <w:shd w:val="clear" w:color="auto" w:fill="F9CFE9" w:themeFill="text1" w:themeFillTint="33"/>
            <w:tcMar>
              <w:top w:w="57" w:type="dxa"/>
              <w:left w:w="0" w:type="dxa"/>
              <w:bottom w:w="57" w:type="dxa"/>
              <w:right w:w="0" w:type="dxa"/>
            </w:tcMar>
          </w:tcPr>
          <w:p w14:paraId="180DE30B" w14:textId="77777777" w:rsidR="009F76CC" w:rsidRPr="009F76CC" w:rsidRDefault="009F76CC" w:rsidP="0035109B">
            <w:pPr>
              <w:spacing w:after="120"/>
              <w:rPr>
                <w:rFonts w:asciiTheme="minorHAnsi" w:hAnsiTheme="minorHAnsi" w:cstheme="minorHAnsi"/>
                <w:color w:val="000000"/>
              </w:rPr>
            </w:pPr>
            <w:bookmarkStart w:id="26" w:name="_Toc183608011"/>
            <w:r w:rsidRPr="009F76CC">
              <w:rPr>
                <w:rFonts w:asciiTheme="minorHAnsi" w:hAnsiTheme="minorHAnsi" w:cstheme="minorHAnsi"/>
                <w:b/>
                <w:color w:val="000000"/>
              </w:rPr>
              <w:t>Part 3B – requirements for central government departments, their executive agencies and non-departmental public bodies</w:t>
            </w:r>
            <w:bookmarkEnd w:id="26"/>
          </w:p>
        </w:tc>
      </w:tr>
      <w:tr w:rsidR="009F76CC" w:rsidRPr="009F76CC" w14:paraId="4E035FEC" w14:textId="77777777" w:rsidTr="001F2CCD">
        <w:trPr>
          <w:cantSplit/>
          <w:trHeight w:val="113"/>
        </w:trPr>
        <w:tc>
          <w:tcPr>
            <w:tcW w:w="9098" w:type="dxa"/>
            <w:gridSpan w:val="2"/>
            <w:tcBorders>
              <w:bottom w:val="single" w:sz="4" w:space="0" w:color="auto"/>
            </w:tcBorders>
            <w:tcMar>
              <w:top w:w="57" w:type="dxa"/>
              <w:left w:w="0" w:type="dxa"/>
              <w:bottom w:w="57" w:type="dxa"/>
              <w:right w:w="0" w:type="dxa"/>
            </w:tcMar>
          </w:tcPr>
          <w:p w14:paraId="14D517EB" w14:textId="77777777" w:rsidR="009F76CC" w:rsidRPr="006E544A" w:rsidRDefault="009F76CC" w:rsidP="0035109B">
            <w:pPr>
              <w:widowControl w:val="0"/>
              <w:rPr>
                <w:rFonts w:asciiTheme="minorHAnsi" w:hAnsiTheme="minorHAnsi" w:cstheme="minorHAnsi"/>
                <w:b/>
              </w:rPr>
            </w:pPr>
            <w:r w:rsidRPr="006E544A">
              <w:rPr>
                <w:rFonts w:asciiTheme="minorHAnsi" w:hAnsiTheme="minorHAnsi" w:cstheme="minorHAnsi"/>
                <w:b/>
              </w:rPr>
              <w:t>[to be added]</w:t>
            </w:r>
          </w:p>
        </w:tc>
      </w:tr>
      <w:tr w:rsidR="009F76CC" w:rsidRPr="009F76CC" w14:paraId="42968B34" w14:textId="77777777" w:rsidTr="001F2CCD">
        <w:trPr>
          <w:cantSplit/>
          <w:trHeight w:val="113"/>
        </w:trPr>
        <w:tc>
          <w:tcPr>
            <w:tcW w:w="9098" w:type="dxa"/>
            <w:gridSpan w:val="2"/>
            <w:tcBorders>
              <w:top w:val="single" w:sz="4" w:space="0" w:color="auto"/>
            </w:tcBorders>
            <w:shd w:val="clear" w:color="auto" w:fill="F9CFE9" w:themeFill="text1" w:themeFillTint="33"/>
            <w:tcMar>
              <w:top w:w="57" w:type="dxa"/>
              <w:left w:w="0" w:type="dxa"/>
              <w:bottom w:w="57" w:type="dxa"/>
              <w:right w:w="0" w:type="dxa"/>
            </w:tcMar>
          </w:tcPr>
          <w:p w14:paraId="7283BA7F" w14:textId="77777777" w:rsidR="009F76CC" w:rsidRPr="006E544A" w:rsidRDefault="009F76CC" w:rsidP="001B3144">
            <w:pPr>
              <w:keepNext/>
              <w:keepLines/>
              <w:rPr>
                <w:rFonts w:asciiTheme="minorHAnsi" w:hAnsiTheme="minorHAnsi" w:cstheme="minorHAnsi"/>
                <w:b/>
              </w:rPr>
            </w:pPr>
            <w:bookmarkStart w:id="27" w:name="_Toc183608012"/>
            <w:bookmarkStart w:id="28" w:name="_Toc185334278"/>
            <w:r w:rsidRPr="006E544A">
              <w:rPr>
                <w:rFonts w:asciiTheme="minorHAnsi" w:hAnsiTheme="minorHAnsi" w:cstheme="minorHAnsi"/>
                <w:b/>
              </w:rPr>
              <w:t>Confirmations</w:t>
            </w:r>
            <w:bookmarkEnd w:id="27"/>
            <w:bookmarkEnd w:id="28"/>
          </w:p>
        </w:tc>
      </w:tr>
      <w:tr w:rsidR="009F76CC" w:rsidRPr="009F76CC" w14:paraId="2524DD1B" w14:textId="77777777" w:rsidTr="001F2CCD">
        <w:trPr>
          <w:cantSplit/>
          <w:trHeight w:val="113"/>
        </w:trPr>
        <w:tc>
          <w:tcPr>
            <w:tcW w:w="650" w:type="dxa"/>
            <w:vMerge w:val="restart"/>
            <w:tcMar>
              <w:top w:w="57" w:type="dxa"/>
              <w:left w:w="0" w:type="dxa"/>
              <w:bottom w:w="57" w:type="dxa"/>
              <w:right w:w="0" w:type="dxa"/>
            </w:tcMar>
          </w:tcPr>
          <w:p w14:paraId="2467277A" w14:textId="77777777" w:rsidR="009F76CC" w:rsidRPr="009F76CC" w:rsidRDefault="009F76CC" w:rsidP="00AA0F4D">
            <w:pPr>
              <w:widowControl w:val="0"/>
              <w:numPr>
                <w:ilvl w:val="0"/>
                <w:numId w:val="42"/>
              </w:numPr>
              <w:adjustRightInd/>
              <w:jc w:val="center"/>
              <w:rPr>
                <w:rFonts w:asciiTheme="minorHAnsi" w:hAnsiTheme="minorHAnsi" w:cstheme="minorHAnsi"/>
              </w:rPr>
            </w:pPr>
          </w:p>
        </w:tc>
        <w:tc>
          <w:tcPr>
            <w:tcW w:w="8448" w:type="dxa"/>
            <w:tcBorders>
              <w:bottom w:val="dashed" w:sz="4" w:space="0" w:color="auto"/>
            </w:tcBorders>
            <w:tcMar>
              <w:top w:w="57" w:type="dxa"/>
              <w:left w:w="0" w:type="dxa"/>
              <w:bottom w:w="57" w:type="dxa"/>
              <w:right w:w="0" w:type="dxa"/>
            </w:tcMar>
          </w:tcPr>
          <w:p w14:paraId="24624824" w14:textId="77777777" w:rsidR="009F76CC" w:rsidRPr="009F76CC" w:rsidRDefault="009F76CC" w:rsidP="0035109B">
            <w:pPr>
              <w:widowControl w:val="0"/>
              <w:rPr>
                <w:rFonts w:asciiTheme="minorHAnsi" w:hAnsiTheme="minorHAnsi" w:cstheme="minorHAnsi"/>
              </w:rPr>
            </w:pPr>
            <w:r w:rsidRPr="009F76CC">
              <w:rPr>
                <w:rFonts w:asciiTheme="minorHAnsi" w:hAnsiTheme="minorHAnsi" w:cstheme="minorHAnsi"/>
              </w:rPr>
              <w:t>I confirm that:</w:t>
            </w:r>
          </w:p>
          <w:p w14:paraId="6976583B" w14:textId="77777777" w:rsidR="009F76CC" w:rsidRPr="009F76CC" w:rsidRDefault="009F76CC" w:rsidP="00AA0F4D">
            <w:pPr>
              <w:widowControl w:val="0"/>
              <w:numPr>
                <w:ilvl w:val="0"/>
                <w:numId w:val="44"/>
              </w:numPr>
              <w:adjustRightInd/>
              <w:contextualSpacing/>
              <w:rPr>
                <w:rFonts w:asciiTheme="minorHAnsi" w:hAnsiTheme="minorHAnsi" w:cstheme="minorHAnsi"/>
              </w:rPr>
            </w:pPr>
            <w:r w:rsidRPr="009F76CC">
              <w:rPr>
                <w:rFonts w:asciiTheme="minorHAnsi" w:hAnsiTheme="minorHAnsi" w:cstheme="minorHAnsi"/>
              </w:rPr>
              <w:t>to the best of my knowledge the answers submitted and information contained in this document are complete, accurate and not misleading</w:t>
            </w:r>
          </w:p>
          <w:p w14:paraId="7C23B063" w14:textId="77777777" w:rsidR="009F76CC" w:rsidRPr="009F76CC" w:rsidRDefault="009F76CC" w:rsidP="00AA0F4D">
            <w:pPr>
              <w:widowControl w:val="0"/>
              <w:numPr>
                <w:ilvl w:val="0"/>
                <w:numId w:val="44"/>
              </w:numPr>
              <w:adjustRightInd/>
              <w:contextualSpacing/>
              <w:rPr>
                <w:rFonts w:asciiTheme="minorHAnsi" w:hAnsiTheme="minorHAnsi" w:cstheme="minorHAnsi"/>
              </w:rPr>
            </w:pPr>
            <w:r w:rsidRPr="009F76CC">
              <w:rPr>
                <w:rFonts w:asciiTheme="minorHAnsi" w:hAnsiTheme="minorHAnsi" w:cstheme="minorHAnsi"/>
              </w:rPr>
              <w:t>upon request and without delay I will provide any additional information requested of us</w:t>
            </w:r>
          </w:p>
          <w:p w14:paraId="0032C7D2" w14:textId="77777777" w:rsidR="009F76CC" w:rsidRPr="009F76CC" w:rsidRDefault="009F76CC" w:rsidP="00AA0F4D">
            <w:pPr>
              <w:widowControl w:val="0"/>
              <w:numPr>
                <w:ilvl w:val="0"/>
                <w:numId w:val="44"/>
              </w:numPr>
              <w:adjustRightInd/>
              <w:contextualSpacing/>
              <w:rPr>
                <w:rFonts w:asciiTheme="minorHAnsi" w:hAnsiTheme="minorHAnsi" w:cstheme="minorHAnsi"/>
              </w:rPr>
            </w:pPr>
            <w:r w:rsidRPr="009F76CC">
              <w:rPr>
                <w:rFonts w:asciiTheme="minorHAnsi" w:hAnsiTheme="minorHAnsi" w:cstheme="minorHAnsi"/>
              </w:rPr>
              <w:t>I understand that the response to this questionnaire will be used to assess whether our organisation is entitled to participate in, or continue to participate in, this procurement</w:t>
            </w:r>
          </w:p>
          <w:p w14:paraId="37286E86" w14:textId="77777777" w:rsidR="009F76CC" w:rsidRPr="009F76CC" w:rsidRDefault="009F76CC" w:rsidP="00AA0F4D">
            <w:pPr>
              <w:widowControl w:val="0"/>
              <w:numPr>
                <w:ilvl w:val="0"/>
                <w:numId w:val="44"/>
              </w:numPr>
              <w:adjustRightInd/>
              <w:contextualSpacing/>
              <w:rPr>
                <w:rFonts w:asciiTheme="minorHAnsi" w:hAnsiTheme="minorHAnsi" w:cstheme="minorHAnsi"/>
              </w:rPr>
            </w:pPr>
            <w:r w:rsidRPr="009F76CC">
              <w:rPr>
                <w:rFonts w:asciiTheme="minorHAnsi" w:hAnsiTheme="minorHAnsi" w:cstheme="minorHAnsi"/>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9F76CC" w:rsidRPr="009F76CC" w14:paraId="66590121" w14:textId="77777777" w:rsidTr="001F2CCD">
        <w:trPr>
          <w:cantSplit/>
          <w:trHeight w:val="113"/>
        </w:trPr>
        <w:tc>
          <w:tcPr>
            <w:tcW w:w="650" w:type="dxa"/>
            <w:vMerge/>
            <w:tcMar>
              <w:top w:w="57" w:type="dxa"/>
              <w:left w:w="0" w:type="dxa"/>
              <w:bottom w:w="57" w:type="dxa"/>
              <w:right w:w="0" w:type="dxa"/>
            </w:tcMar>
          </w:tcPr>
          <w:p w14:paraId="12430F2E" w14:textId="77777777" w:rsidR="009F76CC" w:rsidRPr="009F76CC" w:rsidRDefault="009F76CC" w:rsidP="0035109B">
            <w:pPr>
              <w:widowControl w:val="0"/>
              <w:rPr>
                <w:rFonts w:asciiTheme="minorHAnsi" w:hAnsiTheme="minorHAnsi" w:cstheme="minorHAnsi"/>
              </w:rPr>
            </w:pPr>
          </w:p>
        </w:tc>
        <w:tc>
          <w:tcPr>
            <w:tcW w:w="8448" w:type="dxa"/>
            <w:tcBorders>
              <w:top w:val="dashed" w:sz="4" w:space="0" w:color="auto"/>
            </w:tcBorders>
            <w:tcMar>
              <w:top w:w="57" w:type="dxa"/>
              <w:left w:w="0" w:type="dxa"/>
              <w:bottom w:w="57" w:type="dxa"/>
              <w:right w:w="0" w:type="dxa"/>
            </w:tcMar>
          </w:tcPr>
          <w:p w14:paraId="31AA1E4B" w14:textId="77777777" w:rsidR="009F76CC" w:rsidRPr="009F76CC" w:rsidRDefault="009F76CC" w:rsidP="0035109B">
            <w:pPr>
              <w:widowControl w:val="0"/>
              <w:rPr>
                <w:rFonts w:asciiTheme="minorHAnsi" w:hAnsiTheme="minorHAnsi" w:cstheme="minorHAnsi"/>
              </w:rPr>
            </w:pPr>
            <w:r w:rsidRPr="009F76CC">
              <w:rPr>
                <w:rFonts w:asciiTheme="minorHAnsi" w:hAnsiTheme="minorHAnsi" w:cstheme="minorHAnsi"/>
                <w:b/>
              </w:rPr>
              <w:t>[Insert Yes or No]</w:t>
            </w:r>
          </w:p>
        </w:tc>
      </w:tr>
    </w:tbl>
    <w:p w14:paraId="7F8D3FAD" w14:textId="77777777" w:rsidR="009F76CC" w:rsidRPr="009F76CC" w:rsidRDefault="009F76CC" w:rsidP="009F76CC">
      <w:pPr>
        <w:tabs>
          <w:tab w:val="left" w:pos="2751"/>
        </w:tabs>
        <w:ind w:left="57"/>
        <w:rPr>
          <w:rFonts w:asciiTheme="minorHAnsi" w:hAnsiTheme="minorHAnsi" w:cstheme="minorHAnsi"/>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9F76CC" w:rsidRPr="009F76CC" w14:paraId="207F1575" w14:textId="77777777" w:rsidTr="0035109B">
        <w:trPr>
          <w:cantSplit/>
        </w:trPr>
        <w:tc>
          <w:tcPr>
            <w:tcW w:w="2410" w:type="dxa"/>
            <w:tcBorders>
              <w:right w:val="single" w:sz="4" w:space="0" w:color="auto"/>
            </w:tcBorders>
            <w:tcMar>
              <w:left w:w="0" w:type="dxa"/>
            </w:tcMar>
          </w:tcPr>
          <w:p w14:paraId="68D0D73E" w14:textId="77562E13" w:rsidR="009F76CC" w:rsidRPr="009F76CC" w:rsidRDefault="009F76CC" w:rsidP="0035109B">
            <w:pPr>
              <w:rPr>
                <w:rFonts w:asciiTheme="minorHAnsi" w:hAnsiTheme="minorHAnsi" w:cstheme="minorHAnsi"/>
                <w:b/>
                <w:bCs/>
              </w:rPr>
            </w:pPr>
            <w:r w:rsidRPr="009F76CC">
              <w:rPr>
                <w:rFonts w:asciiTheme="minorHAnsi" w:hAnsiTheme="minorHAnsi" w:cstheme="minorHAnsi"/>
                <w:b/>
              </w:rPr>
              <w:br/>
              <w:t>Sign</w:t>
            </w:r>
            <w:r w:rsidR="00470907">
              <w:rPr>
                <w:rFonts w:asciiTheme="minorHAnsi" w:hAnsiTheme="minorHAnsi" w:cstheme="minorHAnsi"/>
                <w:b/>
              </w:rPr>
              <w:t>ature</w:t>
            </w:r>
          </w:p>
        </w:tc>
        <w:tc>
          <w:tcPr>
            <w:tcW w:w="6946" w:type="dxa"/>
            <w:tcBorders>
              <w:top w:val="single" w:sz="4" w:space="0" w:color="auto"/>
              <w:left w:val="single" w:sz="4" w:space="0" w:color="auto"/>
              <w:bottom w:val="single" w:sz="4" w:space="0" w:color="auto"/>
              <w:right w:val="single" w:sz="4" w:space="0" w:color="auto"/>
            </w:tcBorders>
          </w:tcPr>
          <w:p w14:paraId="2EDE480E" w14:textId="77777777" w:rsidR="009F76CC" w:rsidRPr="009F76CC" w:rsidRDefault="009F76CC" w:rsidP="0035109B">
            <w:pPr>
              <w:rPr>
                <w:rFonts w:asciiTheme="minorHAnsi" w:hAnsiTheme="minorHAnsi" w:cstheme="minorHAnsi"/>
                <w:color w:val="000000"/>
              </w:rPr>
            </w:pPr>
          </w:p>
        </w:tc>
      </w:tr>
    </w:tbl>
    <w:p w14:paraId="4666F136" w14:textId="77777777" w:rsidR="009F76CC" w:rsidRPr="009F76CC" w:rsidRDefault="009F76CC" w:rsidP="009F76CC">
      <w:pPr>
        <w:tabs>
          <w:tab w:val="left" w:pos="2751"/>
        </w:tabs>
        <w:ind w:left="57"/>
        <w:rPr>
          <w:rFonts w:asciiTheme="minorHAnsi" w:hAnsiTheme="minorHAnsi" w:cstheme="minorHAnsi"/>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9F76CC" w:rsidRPr="009F76CC" w14:paraId="74313B52" w14:textId="77777777" w:rsidTr="0035109B">
        <w:trPr>
          <w:cantSplit/>
        </w:trPr>
        <w:tc>
          <w:tcPr>
            <w:tcW w:w="2410" w:type="dxa"/>
            <w:tcBorders>
              <w:right w:val="single" w:sz="4" w:space="0" w:color="auto"/>
            </w:tcBorders>
            <w:tcMar>
              <w:left w:w="0" w:type="dxa"/>
            </w:tcMar>
          </w:tcPr>
          <w:p w14:paraId="764077EF" w14:textId="77777777" w:rsidR="009F76CC" w:rsidRPr="009F76CC" w:rsidRDefault="009F76CC" w:rsidP="0035109B">
            <w:pPr>
              <w:rPr>
                <w:rFonts w:asciiTheme="minorHAnsi" w:hAnsiTheme="minorHAnsi" w:cstheme="minorHAnsi"/>
                <w:b/>
                <w:bCs/>
              </w:rPr>
            </w:pPr>
            <w:r w:rsidRPr="009F76CC">
              <w:rPr>
                <w:rFonts w:asciiTheme="minorHAnsi" w:hAnsiTheme="minorHAnsi" w:cstheme="minorHAnsi"/>
                <w:b/>
                <w:bCs/>
              </w:rPr>
              <w:t>Date</w:t>
            </w:r>
          </w:p>
        </w:tc>
        <w:tc>
          <w:tcPr>
            <w:tcW w:w="4253" w:type="dxa"/>
            <w:tcBorders>
              <w:top w:val="single" w:sz="4" w:space="0" w:color="auto"/>
              <w:left w:val="single" w:sz="4" w:space="0" w:color="auto"/>
              <w:bottom w:val="single" w:sz="4" w:space="0" w:color="auto"/>
              <w:right w:val="single" w:sz="4" w:space="0" w:color="auto"/>
            </w:tcBorders>
          </w:tcPr>
          <w:p w14:paraId="22460B6E" w14:textId="77777777" w:rsidR="009F76CC" w:rsidRPr="009F76CC" w:rsidRDefault="009F76CC" w:rsidP="0035109B">
            <w:pPr>
              <w:rPr>
                <w:rFonts w:asciiTheme="minorHAnsi" w:hAnsiTheme="minorHAnsi" w:cstheme="minorHAnsi"/>
                <w:color w:val="000000"/>
              </w:rPr>
            </w:pPr>
          </w:p>
        </w:tc>
      </w:tr>
    </w:tbl>
    <w:p w14:paraId="1FBDBA1E" w14:textId="77777777" w:rsidR="009F76CC" w:rsidRPr="009F76CC" w:rsidRDefault="009F76CC" w:rsidP="009F76CC">
      <w:pPr>
        <w:tabs>
          <w:tab w:val="left" w:pos="2751"/>
        </w:tabs>
        <w:ind w:left="57"/>
        <w:rPr>
          <w:rFonts w:asciiTheme="minorHAnsi" w:hAnsiTheme="minorHAnsi" w:cstheme="minorHAnsi"/>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9F76CC" w:rsidRPr="009F76CC" w14:paraId="1CC7CF63" w14:textId="77777777" w:rsidTr="0035109B">
        <w:trPr>
          <w:cantSplit/>
        </w:trPr>
        <w:tc>
          <w:tcPr>
            <w:tcW w:w="2410" w:type="dxa"/>
            <w:tcBorders>
              <w:right w:val="single" w:sz="4" w:space="0" w:color="auto"/>
            </w:tcBorders>
            <w:tcMar>
              <w:left w:w="0" w:type="dxa"/>
            </w:tcMar>
          </w:tcPr>
          <w:p w14:paraId="4C99D828" w14:textId="77777777" w:rsidR="009F76CC" w:rsidRPr="009F76CC" w:rsidRDefault="009F76CC" w:rsidP="0035109B">
            <w:pPr>
              <w:rPr>
                <w:rFonts w:asciiTheme="minorHAnsi" w:hAnsiTheme="minorHAnsi" w:cstheme="minorHAnsi"/>
                <w:b/>
                <w:bCs/>
              </w:rPr>
            </w:pPr>
            <w:r w:rsidRPr="009F76CC">
              <w:rPr>
                <w:rFonts w:asciiTheme="minorHAnsi" w:hAnsiTheme="minorHAnsi" w:cstheme="minorHAnsi"/>
                <w:b/>
              </w:rPr>
              <w:t>Name</w:t>
            </w:r>
          </w:p>
        </w:tc>
        <w:tc>
          <w:tcPr>
            <w:tcW w:w="6946" w:type="dxa"/>
            <w:tcBorders>
              <w:top w:val="single" w:sz="4" w:space="0" w:color="auto"/>
              <w:left w:val="single" w:sz="4" w:space="0" w:color="auto"/>
              <w:bottom w:val="single" w:sz="4" w:space="0" w:color="auto"/>
              <w:right w:val="single" w:sz="4" w:space="0" w:color="auto"/>
            </w:tcBorders>
          </w:tcPr>
          <w:p w14:paraId="45064668" w14:textId="77777777" w:rsidR="009F76CC" w:rsidRPr="009F76CC" w:rsidRDefault="009F76CC" w:rsidP="0035109B">
            <w:pPr>
              <w:rPr>
                <w:rFonts w:asciiTheme="minorHAnsi" w:hAnsiTheme="minorHAnsi" w:cstheme="minorHAnsi"/>
                <w:color w:val="000000"/>
              </w:rPr>
            </w:pPr>
          </w:p>
        </w:tc>
      </w:tr>
    </w:tbl>
    <w:p w14:paraId="386BC702" w14:textId="77777777" w:rsidR="009F76CC" w:rsidRPr="009F76CC" w:rsidRDefault="009F76CC" w:rsidP="009F76CC">
      <w:pPr>
        <w:tabs>
          <w:tab w:val="left" w:pos="2751"/>
        </w:tabs>
        <w:ind w:left="57"/>
        <w:rPr>
          <w:rFonts w:asciiTheme="minorHAnsi" w:hAnsiTheme="minorHAnsi" w:cstheme="minorHAnsi"/>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9F76CC" w:rsidRPr="009F76CC" w14:paraId="09AB5E67" w14:textId="77777777" w:rsidTr="0035109B">
        <w:trPr>
          <w:cantSplit/>
          <w:trHeight w:val="23"/>
        </w:trPr>
        <w:tc>
          <w:tcPr>
            <w:tcW w:w="2410" w:type="dxa"/>
            <w:tcBorders>
              <w:right w:val="single" w:sz="4" w:space="0" w:color="auto"/>
            </w:tcBorders>
            <w:tcMar>
              <w:left w:w="0" w:type="dxa"/>
            </w:tcMar>
          </w:tcPr>
          <w:p w14:paraId="19BE5A7E" w14:textId="403295B3" w:rsidR="009F76CC" w:rsidRPr="009F76CC" w:rsidRDefault="00470907" w:rsidP="0035109B">
            <w:pPr>
              <w:rPr>
                <w:rFonts w:asciiTheme="minorHAnsi" w:hAnsiTheme="minorHAnsi" w:cstheme="minorHAnsi"/>
                <w:b/>
                <w:bCs/>
              </w:rPr>
            </w:pPr>
            <w:r>
              <w:rPr>
                <w:rFonts w:asciiTheme="minorHAnsi" w:hAnsiTheme="minorHAnsi" w:cstheme="minorHAnsi"/>
                <w:b/>
              </w:rPr>
              <w:t>Position</w:t>
            </w:r>
          </w:p>
        </w:tc>
        <w:tc>
          <w:tcPr>
            <w:tcW w:w="6946" w:type="dxa"/>
            <w:tcBorders>
              <w:top w:val="single" w:sz="4" w:space="0" w:color="auto"/>
              <w:left w:val="single" w:sz="4" w:space="0" w:color="auto"/>
              <w:bottom w:val="single" w:sz="4" w:space="0" w:color="auto"/>
              <w:right w:val="single" w:sz="4" w:space="0" w:color="auto"/>
            </w:tcBorders>
          </w:tcPr>
          <w:p w14:paraId="36A2412E" w14:textId="77777777" w:rsidR="009F76CC" w:rsidRPr="009F76CC" w:rsidRDefault="009F76CC" w:rsidP="0035109B">
            <w:pPr>
              <w:rPr>
                <w:rFonts w:asciiTheme="minorHAnsi" w:hAnsiTheme="minorHAnsi" w:cstheme="minorHAnsi"/>
                <w:color w:val="000000"/>
              </w:rPr>
            </w:pPr>
          </w:p>
        </w:tc>
      </w:tr>
    </w:tbl>
    <w:p w14:paraId="0E513CFC" w14:textId="77777777" w:rsidR="009F76CC" w:rsidRPr="009F76CC" w:rsidRDefault="009F76CC" w:rsidP="009F76CC">
      <w:pPr>
        <w:tabs>
          <w:tab w:val="left" w:pos="2751"/>
        </w:tabs>
        <w:ind w:left="57"/>
        <w:rPr>
          <w:rFonts w:asciiTheme="minorHAnsi" w:hAnsiTheme="minorHAnsi" w:cstheme="minorHAnsi"/>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9F76CC" w:rsidRPr="009F76CC" w14:paraId="630FBFD5" w14:textId="77777777" w:rsidTr="0035109B">
        <w:trPr>
          <w:cantSplit/>
        </w:trPr>
        <w:tc>
          <w:tcPr>
            <w:tcW w:w="2410" w:type="dxa"/>
            <w:tcBorders>
              <w:right w:val="single" w:sz="4" w:space="0" w:color="auto"/>
            </w:tcBorders>
            <w:tcMar>
              <w:left w:w="0" w:type="dxa"/>
            </w:tcMar>
          </w:tcPr>
          <w:p w14:paraId="5D9D3F6D" w14:textId="77777777" w:rsidR="009F76CC" w:rsidRPr="009F76CC" w:rsidRDefault="009F76CC" w:rsidP="0035109B">
            <w:pPr>
              <w:rPr>
                <w:rFonts w:asciiTheme="minorHAnsi" w:hAnsiTheme="minorHAnsi" w:cstheme="minorHAnsi"/>
                <w:b/>
                <w:bCs/>
              </w:rPr>
            </w:pPr>
            <w:r w:rsidRPr="009F76CC">
              <w:rPr>
                <w:rFonts w:asciiTheme="minorHAnsi" w:hAnsiTheme="minorHAnsi" w:cstheme="minorHAnsi"/>
                <w:b/>
              </w:rPr>
              <w:t>Phone number</w:t>
            </w:r>
          </w:p>
        </w:tc>
        <w:tc>
          <w:tcPr>
            <w:tcW w:w="6946" w:type="dxa"/>
            <w:tcBorders>
              <w:top w:val="single" w:sz="4" w:space="0" w:color="auto"/>
              <w:left w:val="single" w:sz="4" w:space="0" w:color="auto"/>
              <w:bottom w:val="single" w:sz="4" w:space="0" w:color="auto"/>
              <w:right w:val="single" w:sz="4" w:space="0" w:color="auto"/>
            </w:tcBorders>
          </w:tcPr>
          <w:p w14:paraId="7497150E" w14:textId="77777777" w:rsidR="009F76CC" w:rsidRPr="009F76CC" w:rsidRDefault="009F76CC" w:rsidP="0035109B">
            <w:pPr>
              <w:rPr>
                <w:rFonts w:asciiTheme="minorHAnsi" w:hAnsiTheme="minorHAnsi" w:cstheme="minorHAnsi"/>
                <w:color w:val="000000"/>
              </w:rPr>
            </w:pPr>
          </w:p>
        </w:tc>
      </w:tr>
    </w:tbl>
    <w:p w14:paraId="6E3F310F" w14:textId="77777777" w:rsidR="009F76CC" w:rsidRPr="009F76CC" w:rsidRDefault="009F76CC" w:rsidP="009F76CC">
      <w:pPr>
        <w:tabs>
          <w:tab w:val="left" w:pos="2751"/>
        </w:tabs>
        <w:ind w:left="57"/>
        <w:rPr>
          <w:rFonts w:asciiTheme="minorHAnsi" w:hAnsiTheme="minorHAnsi" w:cstheme="minorHAnsi"/>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9F76CC" w:rsidRPr="009F76CC" w14:paraId="2029BC9F" w14:textId="77777777" w:rsidTr="0035109B">
        <w:trPr>
          <w:cantSplit/>
        </w:trPr>
        <w:tc>
          <w:tcPr>
            <w:tcW w:w="2410" w:type="dxa"/>
            <w:tcBorders>
              <w:right w:val="single" w:sz="4" w:space="0" w:color="auto"/>
            </w:tcBorders>
            <w:tcMar>
              <w:left w:w="0" w:type="dxa"/>
            </w:tcMar>
          </w:tcPr>
          <w:p w14:paraId="0949EEC2" w14:textId="77777777" w:rsidR="009F76CC" w:rsidRPr="009F76CC" w:rsidRDefault="009F76CC" w:rsidP="0035109B">
            <w:pPr>
              <w:rPr>
                <w:rFonts w:asciiTheme="minorHAnsi" w:hAnsiTheme="minorHAnsi" w:cstheme="minorHAnsi"/>
                <w:b/>
                <w:bCs/>
              </w:rPr>
            </w:pPr>
            <w:r w:rsidRPr="009F76CC">
              <w:rPr>
                <w:rFonts w:asciiTheme="minorHAnsi" w:hAnsiTheme="minorHAnsi" w:cstheme="minorHAnsi"/>
                <w:b/>
                <w:bCs/>
              </w:rPr>
              <w:t>Email</w:t>
            </w:r>
          </w:p>
        </w:tc>
        <w:tc>
          <w:tcPr>
            <w:tcW w:w="6946" w:type="dxa"/>
            <w:tcBorders>
              <w:top w:val="single" w:sz="4" w:space="0" w:color="auto"/>
              <w:left w:val="single" w:sz="4" w:space="0" w:color="auto"/>
              <w:bottom w:val="single" w:sz="4" w:space="0" w:color="auto"/>
              <w:right w:val="single" w:sz="4" w:space="0" w:color="auto"/>
            </w:tcBorders>
          </w:tcPr>
          <w:p w14:paraId="745947F0" w14:textId="77777777" w:rsidR="009F76CC" w:rsidRPr="009F76CC" w:rsidRDefault="009F76CC" w:rsidP="0035109B">
            <w:pPr>
              <w:rPr>
                <w:rFonts w:asciiTheme="minorHAnsi" w:hAnsiTheme="minorHAnsi" w:cstheme="minorHAnsi"/>
                <w:color w:val="000000"/>
              </w:rPr>
            </w:pPr>
          </w:p>
        </w:tc>
      </w:tr>
    </w:tbl>
    <w:p w14:paraId="7C35F21B" w14:textId="77777777" w:rsidR="009F76CC" w:rsidRPr="009F76CC" w:rsidRDefault="009F76CC" w:rsidP="009F76CC">
      <w:pPr>
        <w:tabs>
          <w:tab w:val="left" w:pos="2751"/>
        </w:tabs>
        <w:ind w:left="57"/>
        <w:rPr>
          <w:rFonts w:asciiTheme="minorHAnsi" w:hAnsiTheme="minorHAnsi" w:cstheme="minorHAnsi"/>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9F76CC" w:rsidRPr="009F76CC" w14:paraId="165FD713" w14:textId="77777777" w:rsidTr="0035109B">
        <w:trPr>
          <w:cantSplit/>
          <w:trHeight w:val="1253"/>
        </w:trPr>
        <w:tc>
          <w:tcPr>
            <w:tcW w:w="2410" w:type="dxa"/>
            <w:tcBorders>
              <w:right w:val="single" w:sz="4" w:space="0" w:color="auto"/>
            </w:tcBorders>
            <w:tcMar>
              <w:left w:w="0" w:type="dxa"/>
            </w:tcMar>
          </w:tcPr>
          <w:p w14:paraId="3C95E78D" w14:textId="77777777" w:rsidR="009F76CC" w:rsidRPr="009F76CC" w:rsidRDefault="009F76CC" w:rsidP="0035109B">
            <w:pPr>
              <w:rPr>
                <w:rFonts w:asciiTheme="minorHAnsi" w:hAnsiTheme="minorHAnsi" w:cstheme="minorHAnsi"/>
                <w:b/>
                <w:bCs/>
              </w:rPr>
            </w:pPr>
            <w:r w:rsidRPr="009F76CC">
              <w:rPr>
                <w:rFonts w:asciiTheme="minorHAnsi" w:hAnsiTheme="minorHAnsi" w:cstheme="minorHAnsi"/>
                <w:b/>
                <w:bCs/>
              </w:rPr>
              <w:t>Postal address</w:t>
            </w:r>
          </w:p>
        </w:tc>
        <w:tc>
          <w:tcPr>
            <w:tcW w:w="6946" w:type="dxa"/>
            <w:tcBorders>
              <w:top w:val="single" w:sz="4" w:space="0" w:color="auto"/>
              <w:left w:val="single" w:sz="4" w:space="0" w:color="auto"/>
              <w:bottom w:val="single" w:sz="4" w:space="0" w:color="auto"/>
              <w:right w:val="single" w:sz="4" w:space="0" w:color="auto"/>
            </w:tcBorders>
          </w:tcPr>
          <w:p w14:paraId="5DE0DBDF" w14:textId="77777777" w:rsidR="009F76CC" w:rsidRPr="009F76CC" w:rsidRDefault="009F76CC" w:rsidP="0035109B">
            <w:pPr>
              <w:rPr>
                <w:rFonts w:asciiTheme="minorHAnsi" w:hAnsiTheme="minorHAnsi" w:cstheme="minorHAnsi"/>
                <w:color w:val="000000"/>
              </w:rPr>
            </w:pPr>
          </w:p>
        </w:tc>
      </w:tr>
    </w:tbl>
    <w:p w14:paraId="75CABE4E" w14:textId="77777777" w:rsidR="009F76CC" w:rsidRPr="009F76CC" w:rsidRDefault="009F76CC" w:rsidP="009F76CC">
      <w:pPr>
        <w:tabs>
          <w:tab w:val="left" w:pos="2751"/>
        </w:tabs>
        <w:ind w:left="57"/>
        <w:rPr>
          <w:rFonts w:asciiTheme="minorHAnsi" w:hAnsiTheme="minorHAnsi" w:cstheme="minorHAnsi"/>
        </w:rPr>
      </w:pPr>
    </w:p>
    <w:p w14:paraId="7DF39E55" w14:textId="77777777" w:rsidR="009F76CC" w:rsidRPr="009F76CC" w:rsidRDefault="009F76CC" w:rsidP="009F76CC">
      <w:pPr>
        <w:rPr>
          <w:rFonts w:asciiTheme="minorHAnsi" w:hAnsiTheme="minorHAnsi" w:cstheme="minorHAnsi"/>
        </w:rPr>
      </w:pPr>
    </w:p>
    <w:p w14:paraId="4959024F" w14:textId="3F0ED257" w:rsidR="00911A7D" w:rsidRPr="009F76CC" w:rsidRDefault="00911A7D" w:rsidP="002C0D70">
      <w:pPr>
        <w:pStyle w:val="Level2"/>
        <w:numPr>
          <w:ilvl w:val="0"/>
          <w:numId w:val="0"/>
        </w:numPr>
        <w:ind w:left="720" w:hanging="720"/>
        <w:rPr>
          <w:rFonts w:asciiTheme="minorHAnsi" w:hAnsiTheme="minorHAnsi" w:cstheme="minorHAnsi"/>
        </w:rPr>
      </w:pPr>
    </w:p>
    <w:p w14:paraId="6CA502EE" w14:textId="3E491FD3" w:rsidR="00911A7D" w:rsidRPr="009F76CC" w:rsidRDefault="00911A7D" w:rsidP="00582426">
      <w:pPr>
        <w:pStyle w:val="Level2"/>
        <w:numPr>
          <w:ilvl w:val="0"/>
          <w:numId w:val="0"/>
        </w:numPr>
        <w:rPr>
          <w:rFonts w:asciiTheme="minorHAnsi" w:hAnsiTheme="minorHAnsi" w:cstheme="minorHAnsi"/>
        </w:rPr>
      </w:pPr>
    </w:p>
    <w:p w14:paraId="4F5E4A71" w14:textId="77777777" w:rsidR="00911A7D" w:rsidRPr="009F76CC" w:rsidRDefault="00911A7D" w:rsidP="002C0D70">
      <w:pPr>
        <w:pStyle w:val="Level2"/>
        <w:numPr>
          <w:ilvl w:val="0"/>
          <w:numId w:val="0"/>
        </w:numPr>
        <w:ind w:left="720" w:hanging="720"/>
        <w:rPr>
          <w:rFonts w:asciiTheme="minorHAnsi" w:hAnsiTheme="minorHAnsi" w:cstheme="minorHAnsi"/>
        </w:rPr>
      </w:pPr>
    </w:p>
    <w:p w14:paraId="0366697F" w14:textId="0AE9E543" w:rsidR="00911A7D" w:rsidRDefault="00911A7D">
      <w:pPr>
        <w:adjustRightInd/>
        <w:spacing w:after="160" w:line="259" w:lineRule="auto"/>
        <w:rPr>
          <w:rFonts w:eastAsia="Arial" w:cs="Arial"/>
        </w:rPr>
      </w:pPr>
      <w:r>
        <w:br w:type="page"/>
      </w:r>
    </w:p>
    <w:p w14:paraId="57B802E6" w14:textId="5C22203A" w:rsidR="00911A7D" w:rsidRDefault="00911A7D" w:rsidP="00C43D8A">
      <w:pPr>
        <w:pStyle w:val="Level1Heading"/>
        <w:numPr>
          <w:ilvl w:val="0"/>
          <w:numId w:val="0"/>
        </w:numPr>
        <w:jc w:val="center"/>
      </w:pPr>
      <w:bookmarkStart w:id="29" w:name="_Toc197441913"/>
      <w:r>
        <w:lastRenderedPageBreak/>
        <w:t>APPENDIX D</w:t>
      </w:r>
      <w:r w:rsidRPr="00E5488A">
        <w:t xml:space="preserve"> </w:t>
      </w:r>
      <w:r>
        <w:t>–</w:t>
      </w:r>
      <w:r w:rsidRPr="00E5488A">
        <w:t xml:space="preserve"> </w:t>
      </w:r>
      <w:r>
        <w:t>GLOSSARY</w:t>
      </w:r>
      <w:bookmarkEnd w:id="29"/>
    </w:p>
    <w:p w14:paraId="4A0CF0B0" w14:textId="77777777" w:rsidR="00911A7D" w:rsidRDefault="00911A7D" w:rsidP="002C0D70">
      <w:pPr>
        <w:pStyle w:val="Level2"/>
        <w:numPr>
          <w:ilvl w:val="0"/>
          <w:numId w:val="0"/>
        </w:numPr>
        <w:ind w:left="720" w:hanging="720"/>
      </w:pPr>
    </w:p>
    <w:p w14:paraId="4841B0F2" w14:textId="77777777" w:rsidR="009F76CC" w:rsidRDefault="009F76CC" w:rsidP="009F76CC"/>
    <w:p w14:paraId="1B2E006B" w14:textId="77777777" w:rsidR="009F76CC" w:rsidRPr="00924C74" w:rsidRDefault="009F76CC" w:rsidP="009F76CC"/>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807"/>
        <w:gridCol w:w="5701"/>
      </w:tblGrid>
      <w:tr w:rsidR="009F76CC" w:rsidRPr="00845A54" w14:paraId="6FD58446" w14:textId="77777777" w:rsidTr="00007DF0">
        <w:trPr>
          <w:tblHeader/>
        </w:trPr>
        <w:tc>
          <w:tcPr>
            <w:tcW w:w="2807" w:type="dxa"/>
            <w:shd w:val="clear" w:color="auto" w:fill="F9CFE9" w:themeFill="text1" w:themeFillTint="33"/>
          </w:tcPr>
          <w:p w14:paraId="4ED2CDCE" w14:textId="77777777" w:rsidR="009F76CC" w:rsidRPr="009F76CC" w:rsidRDefault="009F76CC" w:rsidP="0035109B">
            <w:pPr>
              <w:pStyle w:val="BodyText1"/>
              <w:spacing w:after="0"/>
              <w:rPr>
                <w:b/>
                <w:bCs/>
                <w:sz w:val="20"/>
                <w:szCs w:val="22"/>
              </w:rPr>
            </w:pPr>
            <w:r w:rsidRPr="009F76CC">
              <w:rPr>
                <w:b/>
                <w:bCs/>
                <w:sz w:val="20"/>
                <w:szCs w:val="22"/>
              </w:rPr>
              <w:t>Defined term</w:t>
            </w:r>
          </w:p>
        </w:tc>
        <w:tc>
          <w:tcPr>
            <w:tcW w:w="5701" w:type="dxa"/>
            <w:shd w:val="clear" w:color="auto" w:fill="F9CFE9" w:themeFill="text1" w:themeFillTint="33"/>
          </w:tcPr>
          <w:p w14:paraId="082E35E0" w14:textId="77777777" w:rsidR="009F76CC" w:rsidRPr="009F76CC" w:rsidRDefault="009F76CC" w:rsidP="0035109B">
            <w:pPr>
              <w:pStyle w:val="BodyText1"/>
              <w:spacing w:after="0"/>
              <w:rPr>
                <w:b/>
                <w:bCs/>
                <w:sz w:val="20"/>
                <w:szCs w:val="22"/>
              </w:rPr>
            </w:pPr>
            <w:r w:rsidRPr="009F76CC">
              <w:rPr>
                <w:b/>
                <w:bCs/>
                <w:sz w:val="20"/>
                <w:szCs w:val="22"/>
              </w:rPr>
              <w:t>Definition</w:t>
            </w:r>
          </w:p>
        </w:tc>
      </w:tr>
      <w:tr w:rsidR="009F76CC" w:rsidRPr="0018563A" w14:paraId="1B59748C" w14:textId="77777777" w:rsidTr="00007DF0">
        <w:tc>
          <w:tcPr>
            <w:tcW w:w="2807" w:type="dxa"/>
            <w:shd w:val="clear" w:color="auto" w:fill="D9D9D9" w:themeFill="background1" w:themeFillShade="D9"/>
          </w:tcPr>
          <w:p w14:paraId="6D407095" w14:textId="77777777" w:rsidR="009F76CC" w:rsidRPr="009F76CC" w:rsidRDefault="009F76CC" w:rsidP="0035109B">
            <w:pPr>
              <w:pStyle w:val="BodyText1"/>
              <w:spacing w:after="120"/>
              <w:rPr>
                <w:rFonts w:cstheme="minorHAnsi"/>
                <w:sz w:val="20"/>
                <w:szCs w:val="20"/>
              </w:rPr>
            </w:pPr>
            <w:r w:rsidRPr="009F76CC">
              <w:rPr>
                <w:rFonts w:cstheme="minorHAnsi"/>
                <w:sz w:val="20"/>
                <w:szCs w:val="20"/>
              </w:rPr>
              <w:t>Act</w:t>
            </w:r>
          </w:p>
        </w:tc>
        <w:tc>
          <w:tcPr>
            <w:tcW w:w="5701" w:type="dxa"/>
            <w:shd w:val="clear" w:color="auto" w:fill="D9D9D9" w:themeFill="background1" w:themeFillShade="D9"/>
          </w:tcPr>
          <w:p w14:paraId="5C2BE768" w14:textId="77777777" w:rsidR="009F76CC" w:rsidRPr="009F76CC" w:rsidRDefault="009F76CC" w:rsidP="0035109B">
            <w:pPr>
              <w:pStyle w:val="BodyText1"/>
              <w:spacing w:after="120"/>
              <w:rPr>
                <w:rFonts w:cstheme="minorHAnsi"/>
                <w:sz w:val="20"/>
                <w:szCs w:val="20"/>
              </w:rPr>
            </w:pPr>
            <w:r w:rsidRPr="009F76CC">
              <w:rPr>
                <w:rFonts w:cstheme="minorHAnsi"/>
                <w:sz w:val="20"/>
                <w:szCs w:val="20"/>
              </w:rPr>
              <w:t>means the Procurement Act 2023.</w:t>
            </w:r>
          </w:p>
        </w:tc>
      </w:tr>
      <w:tr w:rsidR="009F76CC" w:rsidRPr="0018563A" w14:paraId="47E99EDD" w14:textId="77777777" w:rsidTr="00007DF0">
        <w:tc>
          <w:tcPr>
            <w:tcW w:w="2807" w:type="dxa"/>
            <w:shd w:val="clear" w:color="auto" w:fill="D9D9D9" w:themeFill="background1" w:themeFillShade="D9"/>
          </w:tcPr>
          <w:p w14:paraId="51D8EAB0" w14:textId="77777777" w:rsidR="009F76CC" w:rsidRPr="009F76CC" w:rsidRDefault="009F76CC" w:rsidP="0035109B">
            <w:pPr>
              <w:pStyle w:val="BodyText1"/>
              <w:spacing w:after="0"/>
              <w:rPr>
                <w:rFonts w:cstheme="minorHAnsi"/>
                <w:sz w:val="20"/>
                <w:szCs w:val="20"/>
              </w:rPr>
            </w:pPr>
            <w:r w:rsidRPr="009F76CC">
              <w:rPr>
                <w:rFonts w:cstheme="minorHAnsi"/>
                <w:sz w:val="20"/>
                <w:szCs w:val="20"/>
              </w:rPr>
              <w:t>Associated Person</w:t>
            </w:r>
          </w:p>
        </w:tc>
        <w:tc>
          <w:tcPr>
            <w:tcW w:w="5701" w:type="dxa"/>
            <w:shd w:val="clear" w:color="auto" w:fill="D9D9D9" w:themeFill="background1" w:themeFillShade="D9"/>
          </w:tcPr>
          <w:p w14:paraId="09B034E3" w14:textId="77777777"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means a person the Supplier is relying on in order to satisfy the Conditions of Participation (other than a guarantor).</w:t>
            </w:r>
          </w:p>
        </w:tc>
      </w:tr>
      <w:tr w:rsidR="009F76CC" w:rsidRPr="0018563A" w14:paraId="13D4C738" w14:textId="77777777" w:rsidTr="00007DF0">
        <w:tc>
          <w:tcPr>
            <w:tcW w:w="2807" w:type="dxa"/>
            <w:shd w:val="clear" w:color="auto" w:fill="D9D9D9" w:themeFill="background1" w:themeFillShade="D9"/>
          </w:tcPr>
          <w:p w14:paraId="6880592D" w14:textId="77777777" w:rsidR="009F76CC" w:rsidRPr="009F76CC" w:rsidRDefault="009F76CC" w:rsidP="0035109B">
            <w:pPr>
              <w:pStyle w:val="BodyText1"/>
              <w:spacing w:after="0"/>
              <w:rPr>
                <w:rFonts w:cstheme="minorHAnsi"/>
                <w:sz w:val="20"/>
                <w:szCs w:val="20"/>
              </w:rPr>
            </w:pPr>
            <w:r w:rsidRPr="009F76CC">
              <w:rPr>
                <w:rFonts w:cstheme="minorHAnsi"/>
                <w:sz w:val="20"/>
                <w:szCs w:val="20"/>
              </w:rPr>
              <w:t>Associated Suppliers</w:t>
            </w:r>
          </w:p>
        </w:tc>
        <w:tc>
          <w:tcPr>
            <w:tcW w:w="5701" w:type="dxa"/>
            <w:shd w:val="clear" w:color="auto" w:fill="D9D9D9" w:themeFill="background1" w:themeFillShade="D9"/>
          </w:tcPr>
          <w:p w14:paraId="1EEA0BD6" w14:textId="07BB64AE" w:rsidR="009F76CC" w:rsidRPr="009F76CC" w:rsidRDefault="009F76CC" w:rsidP="0035109B">
            <w:pPr>
              <w:pStyle w:val="BodyText1"/>
              <w:spacing w:after="0"/>
              <w:rPr>
                <w:rFonts w:cstheme="minorHAnsi"/>
                <w:sz w:val="20"/>
                <w:szCs w:val="20"/>
              </w:rPr>
            </w:pPr>
            <w:r w:rsidRPr="009F76CC">
              <w:rPr>
                <w:rFonts w:cstheme="minorHAnsi"/>
                <w:sz w:val="20"/>
                <w:szCs w:val="20"/>
              </w:rPr>
              <w:t xml:space="preserve">means a Supplier who is associated with another Supplier if either (a) the Suppliers are submitting a tender together, or (b) the </w:t>
            </w:r>
            <w:r w:rsidR="00007DF0">
              <w:rPr>
                <w:rFonts w:cstheme="minorHAnsi"/>
                <w:sz w:val="20"/>
                <w:szCs w:val="20"/>
              </w:rPr>
              <w:t>Trust</w:t>
            </w:r>
            <w:r w:rsidRPr="009F76CC">
              <w:rPr>
                <w:rFonts w:cstheme="minorHAnsi"/>
                <w:sz w:val="20"/>
                <w:szCs w:val="20"/>
              </w:rPr>
              <w:t xml:space="preserve">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9F76CC" w:rsidRPr="0018563A" w14:paraId="475DB7E4" w14:textId="77777777" w:rsidTr="00007DF0">
        <w:tc>
          <w:tcPr>
            <w:tcW w:w="2807" w:type="dxa"/>
            <w:shd w:val="clear" w:color="auto" w:fill="D9D9D9" w:themeFill="background1" w:themeFillShade="D9"/>
          </w:tcPr>
          <w:p w14:paraId="581CAF2D" w14:textId="77777777" w:rsidR="009F76CC" w:rsidRPr="009F76CC" w:rsidRDefault="009F76CC" w:rsidP="0035109B">
            <w:pPr>
              <w:pStyle w:val="BodyText1"/>
              <w:spacing w:after="0"/>
              <w:rPr>
                <w:rFonts w:cstheme="minorHAnsi"/>
                <w:sz w:val="20"/>
                <w:szCs w:val="20"/>
              </w:rPr>
            </w:pPr>
            <w:r w:rsidRPr="009F76CC">
              <w:rPr>
                <w:rFonts w:cstheme="minorHAnsi"/>
                <w:sz w:val="20"/>
                <w:szCs w:val="20"/>
              </w:rPr>
              <w:t>Award Stage</w:t>
            </w:r>
          </w:p>
        </w:tc>
        <w:tc>
          <w:tcPr>
            <w:tcW w:w="5701" w:type="dxa"/>
            <w:shd w:val="clear" w:color="auto" w:fill="D9D9D9" w:themeFill="background1" w:themeFillShade="D9"/>
          </w:tcPr>
          <w:p w14:paraId="5F79311B"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means Step 3 of the evaluation process described in Section 5 (The Procurement Process) of this ITT</w:t>
            </w:r>
          </w:p>
        </w:tc>
      </w:tr>
      <w:tr w:rsidR="009F76CC" w:rsidRPr="0018563A" w14:paraId="5C43571C" w14:textId="77777777" w:rsidTr="00007DF0">
        <w:tc>
          <w:tcPr>
            <w:tcW w:w="2807" w:type="dxa"/>
            <w:shd w:val="clear" w:color="auto" w:fill="D9D9D9" w:themeFill="background1" w:themeFillShade="D9"/>
          </w:tcPr>
          <w:p w14:paraId="716492EC" w14:textId="1109C81D" w:rsidR="009F76CC" w:rsidRPr="009F76CC" w:rsidRDefault="009F76CC" w:rsidP="0035109B">
            <w:pPr>
              <w:pStyle w:val="BodyText1"/>
              <w:spacing w:after="0"/>
              <w:rPr>
                <w:rFonts w:cstheme="minorHAnsi"/>
                <w:sz w:val="20"/>
                <w:szCs w:val="20"/>
              </w:rPr>
            </w:pPr>
            <w:r w:rsidRPr="009F76CC">
              <w:rPr>
                <w:rFonts w:cstheme="minorHAnsi"/>
                <w:sz w:val="20"/>
                <w:szCs w:val="20"/>
              </w:rPr>
              <w:t>Central Digital Platform</w:t>
            </w:r>
            <w:r w:rsidR="000A0E1B">
              <w:rPr>
                <w:rFonts w:cstheme="minorHAnsi"/>
                <w:sz w:val="20"/>
                <w:szCs w:val="20"/>
              </w:rPr>
              <w:t xml:space="preserve"> (CDP)</w:t>
            </w:r>
          </w:p>
        </w:tc>
        <w:tc>
          <w:tcPr>
            <w:tcW w:w="5701" w:type="dxa"/>
            <w:shd w:val="clear" w:color="auto" w:fill="D9D9D9" w:themeFill="background1" w:themeFillShade="D9"/>
          </w:tcPr>
          <w:p w14:paraId="3A65538F"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means the online system defined by regulation 5(2) of the Procurement Regulations 2024 (SI 2024 No. 692).</w:t>
            </w:r>
          </w:p>
        </w:tc>
      </w:tr>
      <w:tr w:rsidR="009F76CC" w:rsidRPr="0018563A" w14:paraId="0857357A" w14:textId="77777777" w:rsidTr="00007DF0">
        <w:tc>
          <w:tcPr>
            <w:tcW w:w="2807" w:type="dxa"/>
            <w:shd w:val="clear" w:color="auto" w:fill="D9D9D9" w:themeFill="background1" w:themeFillShade="D9"/>
          </w:tcPr>
          <w:p w14:paraId="1E71B5ED" w14:textId="77777777" w:rsidR="009F76CC" w:rsidRPr="009F76CC" w:rsidRDefault="009F76CC" w:rsidP="0035109B">
            <w:pPr>
              <w:pStyle w:val="BodyText1"/>
              <w:spacing w:after="0"/>
              <w:rPr>
                <w:rFonts w:cstheme="minorHAnsi"/>
                <w:sz w:val="20"/>
                <w:szCs w:val="20"/>
              </w:rPr>
            </w:pPr>
            <w:r w:rsidRPr="009F76CC">
              <w:rPr>
                <w:rFonts w:cstheme="minorHAnsi"/>
                <w:sz w:val="20"/>
                <w:szCs w:val="20"/>
              </w:rPr>
              <w:t>Compliance Review</w:t>
            </w:r>
          </w:p>
        </w:tc>
        <w:tc>
          <w:tcPr>
            <w:tcW w:w="5701" w:type="dxa"/>
            <w:shd w:val="clear" w:color="auto" w:fill="D9D9D9" w:themeFill="background1" w:themeFillShade="D9"/>
          </w:tcPr>
          <w:p w14:paraId="0B5CF608"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means the initial compliance review undertaken in advance of the evaluation described in Section 10 (The assessment process and award criteria) of this ITT</w:t>
            </w:r>
          </w:p>
        </w:tc>
      </w:tr>
      <w:tr w:rsidR="009F76CC" w:rsidRPr="0018563A" w14:paraId="11C1C92B" w14:textId="77777777" w:rsidTr="00007DF0">
        <w:tc>
          <w:tcPr>
            <w:tcW w:w="2807" w:type="dxa"/>
            <w:shd w:val="clear" w:color="auto" w:fill="D9D9D9" w:themeFill="background1" w:themeFillShade="D9"/>
          </w:tcPr>
          <w:p w14:paraId="14AB2F03" w14:textId="77777777" w:rsidR="009F76CC" w:rsidRPr="009F76CC" w:rsidRDefault="009F76CC" w:rsidP="0035109B">
            <w:pPr>
              <w:pStyle w:val="BodyText1"/>
              <w:spacing w:after="0"/>
              <w:rPr>
                <w:rFonts w:cstheme="minorHAnsi"/>
                <w:sz w:val="20"/>
                <w:szCs w:val="20"/>
              </w:rPr>
            </w:pPr>
            <w:r w:rsidRPr="009F76CC">
              <w:rPr>
                <w:rFonts w:cstheme="minorHAnsi"/>
                <w:sz w:val="20"/>
                <w:szCs w:val="20"/>
              </w:rPr>
              <w:t>Conditions of Participation</w:t>
            </w:r>
          </w:p>
        </w:tc>
        <w:tc>
          <w:tcPr>
            <w:tcW w:w="5701" w:type="dxa"/>
            <w:shd w:val="clear" w:color="auto" w:fill="D9D9D9" w:themeFill="background1" w:themeFillShade="D9"/>
          </w:tcPr>
          <w:p w14:paraId="06374795"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 xml:space="preserve">means the conditions of participation set out in Section 10 (The assessment process and award criteria) of this ITT </w:t>
            </w:r>
          </w:p>
        </w:tc>
      </w:tr>
      <w:tr w:rsidR="009F76CC" w:rsidRPr="0018563A" w14:paraId="60C24E46" w14:textId="77777777" w:rsidTr="00007DF0">
        <w:tc>
          <w:tcPr>
            <w:tcW w:w="2807" w:type="dxa"/>
            <w:shd w:val="clear" w:color="auto" w:fill="D9D9D9" w:themeFill="background1" w:themeFillShade="D9"/>
          </w:tcPr>
          <w:p w14:paraId="524F2646" w14:textId="6FA5C52C" w:rsidR="009F76CC" w:rsidRPr="009F76CC" w:rsidRDefault="009F76CC" w:rsidP="0035109B">
            <w:pPr>
              <w:pStyle w:val="BodyText1"/>
              <w:spacing w:after="0"/>
              <w:rPr>
                <w:rFonts w:cstheme="minorHAnsi"/>
                <w:sz w:val="20"/>
                <w:szCs w:val="20"/>
              </w:rPr>
            </w:pPr>
            <w:r w:rsidRPr="009F76CC">
              <w:rPr>
                <w:rFonts w:cstheme="minorHAnsi"/>
                <w:sz w:val="20"/>
                <w:szCs w:val="20"/>
              </w:rPr>
              <w:t xml:space="preserve">Connected </w:t>
            </w:r>
            <w:r w:rsidR="00EC75DA">
              <w:rPr>
                <w:rFonts w:cstheme="minorHAnsi"/>
                <w:sz w:val="20"/>
                <w:szCs w:val="20"/>
              </w:rPr>
              <w:t>P</w:t>
            </w:r>
            <w:r w:rsidRPr="009F76CC">
              <w:rPr>
                <w:rFonts w:cstheme="minorHAnsi"/>
                <w:sz w:val="20"/>
                <w:szCs w:val="20"/>
              </w:rPr>
              <w:t>erson</w:t>
            </w:r>
          </w:p>
        </w:tc>
        <w:tc>
          <w:tcPr>
            <w:tcW w:w="5701" w:type="dxa"/>
            <w:shd w:val="clear" w:color="auto" w:fill="D9D9D9" w:themeFill="background1" w:themeFillShade="D9"/>
          </w:tcPr>
          <w:p w14:paraId="417C395A" w14:textId="77777777"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 xml:space="preserve">means: </w:t>
            </w:r>
          </w:p>
          <w:p w14:paraId="55B0F714" w14:textId="458A1E52" w:rsidR="009F76CC" w:rsidRPr="009F76CC" w:rsidRDefault="009F76CC" w:rsidP="00AA0F4D">
            <w:pPr>
              <w:widowControl w:val="0"/>
              <w:numPr>
                <w:ilvl w:val="0"/>
                <w:numId w:val="50"/>
              </w:numPr>
              <w:adjustRightInd/>
              <w:spacing w:after="120"/>
              <w:rPr>
                <w:rFonts w:asciiTheme="minorHAnsi" w:hAnsiTheme="minorHAnsi" w:cstheme="minorHAnsi"/>
              </w:rPr>
            </w:pPr>
            <w:r w:rsidRPr="009F76CC">
              <w:rPr>
                <w:rFonts w:asciiTheme="minorHAnsi" w:hAnsiTheme="minorHAnsi" w:cstheme="minorHAnsi"/>
              </w:rPr>
              <w:t xml:space="preserve">a person with ‘significant control' over the </w:t>
            </w:r>
            <w:r w:rsidR="00EC75DA">
              <w:rPr>
                <w:rFonts w:asciiTheme="minorHAnsi" w:hAnsiTheme="minorHAnsi" w:cstheme="minorHAnsi"/>
              </w:rPr>
              <w:t>S</w:t>
            </w:r>
            <w:r w:rsidRPr="009F76CC">
              <w:rPr>
                <w:rFonts w:asciiTheme="minorHAnsi" w:hAnsiTheme="minorHAnsi" w:cstheme="minorHAnsi"/>
              </w:rPr>
              <w:t>upplier (within the meaning given by section 790C(2) of the Companies Act 2006 (CA 2006))</w:t>
            </w:r>
          </w:p>
          <w:p w14:paraId="01039BC0" w14:textId="5EBA1B03" w:rsidR="009F76CC" w:rsidRPr="009F76CC" w:rsidRDefault="009F76CC" w:rsidP="00AA0F4D">
            <w:pPr>
              <w:widowControl w:val="0"/>
              <w:numPr>
                <w:ilvl w:val="0"/>
                <w:numId w:val="50"/>
              </w:numPr>
              <w:adjustRightInd/>
              <w:spacing w:after="120"/>
              <w:rPr>
                <w:rFonts w:asciiTheme="minorHAnsi" w:hAnsiTheme="minorHAnsi" w:cstheme="minorHAnsi"/>
              </w:rPr>
            </w:pPr>
            <w:r w:rsidRPr="009F76CC">
              <w:rPr>
                <w:rFonts w:asciiTheme="minorHAnsi" w:hAnsiTheme="minorHAnsi" w:cstheme="minorHAnsi"/>
              </w:rPr>
              <w:t xml:space="preserve">a director or shadow director of the </w:t>
            </w:r>
            <w:r w:rsidR="00EC75DA">
              <w:rPr>
                <w:rFonts w:asciiTheme="minorHAnsi" w:hAnsiTheme="minorHAnsi" w:cstheme="minorHAnsi"/>
              </w:rPr>
              <w:t>S</w:t>
            </w:r>
            <w:r w:rsidRPr="009F76CC">
              <w:rPr>
                <w:rFonts w:asciiTheme="minorHAnsi" w:hAnsiTheme="minorHAnsi" w:cstheme="minorHAnsi"/>
              </w:rPr>
              <w:t>upplier</w:t>
            </w:r>
          </w:p>
          <w:p w14:paraId="027AD44B" w14:textId="24AB1929" w:rsidR="009F76CC" w:rsidRPr="009F76CC" w:rsidRDefault="009F76CC" w:rsidP="00AA0F4D">
            <w:pPr>
              <w:widowControl w:val="0"/>
              <w:numPr>
                <w:ilvl w:val="0"/>
                <w:numId w:val="50"/>
              </w:numPr>
              <w:adjustRightInd/>
              <w:spacing w:after="120"/>
              <w:rPr>
                <w:rFonts w:asciiTheme="minorHAnsi" w:hAnsiTheme="minorHAnsi" w:cstheme="minorHAnsi"/>
              </w:rPr>
            </w:pPr>
            <w:r w:rsidRPr="009F76CC">
              <w:rPr>
                <w:rFonts w:asciiTheme="minorHAnsi" w:hAnsiTheme="minorHAnsi" w:cstheme="minorHAnsi"/>
              </w:rPr>
              <w:t xml:space="preserve">a parent undertaking or a subsidiary undertaking of the </w:t>
            </w:r>
            <w:r w:rsidR="00EC75DA">
              <w:rPr>
                <w:rFonts w:asciiTheme="minorHAnsi" w:hAnsiTheme="minorHAnsi" w:cstheme="minorHAnsi"/>
              </w:rPr>
              <w:t>S</w:t>
            </w:r>
            <w:r w:rsidRPr="009F76CC">
              <w:rPr>
                <w:rFonts w:asciiTheme="minorHAnsi" w:hAnsiTheme="minorHAnsi" w:cstheme="minorHAnsi"/>
              </w:rPr>
              <w:t>upplier</w:t>
            </w:r>
          </w:p>
          <w:p w14:paraId="3D2EF5EC" w14:textId="77777777" w:rsidR="009F76CC" w:rsidRPr="009F76CC" w:rsidRDefault="009F76CC" w:rsidP="00AA0F4D">
            <w:pPr>
              <w:widowControl w:val="0"/>
              <w:numPr>
                <w:ilvl w:val="0"/>
                <w:numId w:val="50"/>
              </w:numPr>
              <w:adjustRightInd/>
              <w:spacing w:after="120"/>
              <w:rPr>
                <w:rFonts w:asciiTheme="minorHAnsi" w:hAnsiTheme="minorHAnsi" w:cstheme="minorHAnsi"/>
              </w:rPr>
            </w:pPr>
            <w:r w:rsidRPr="009F76CC">
              <w:rPr>
                <w:rFonts w:asciiTheme="minorHAnsi" w:hAnsiTheme="minorHAnsi" w:cstheme="minorHAnsi"/>
              </w:rPr>
              <w:t>a predecessor company</w:t>
            </w:r>
          </w:p>
          <w:p w14:paraId="4D9D384F" w14:textId="52F0EFEB" w:rsidR="009F76CC" w:rsidRPr="009F76CC" w:rsidRDefault="009F76CC" w:rsidP="00AA0F4D">
            <w:pPr>
              <w:widowControl w:val="0"/>
              <w:numPr>
                <w:ilvl w:val="0"/>
                <w:numId w:val="50"/>
              </w:numPr>
              <w:adjustRightInd/>
              <w:spacing w:after="120"/>
              <w:rPr>
                <w:rFonts w:asciiTheme="minorHAnsi" w:hAnsiTheme="minorHAnsi" w:cstheme="minorHAnsi"/>
              </w:rPr>
            </w:pPr>
            <w:r w:rsidRPr="009F76CC">
              <w:rPr>
                <w:rFonts w:asciiTheme="minorHAnsi" w:hAnsiTheme="minorHAnsi" w:cstheme="minorHAnsi"/>
              </w:rPr>
              <w:t xml:space="preserve">any other person who it can reasonably be considered stands in an equivalent position in relation to the </w:t>
            </w:r>
            <w:r w:rsidR="00EC75DA">
              <w:rPr>
                <w:rFonts w:asciiTheme="minorHAnsi" w:hAnsiTheme="minorHAnsi" w:cstheme="minorHAnsi"/>
              </w:rPr>
              <w:t>S</w:t>
            </w:r>
            <w:r w:rsidRPr="009F76CC">
              <w:rPr>
                <w:rFonts w:asciiTheme="minorHAnsi" w:hAnsiTheme="minorHAnsi" w:cstheme="minorHAnsi"/>
              </w:rPr>
              <w:t>upplier as a person within paragraph</w:t>
            </w:r>
            <w:r w:rsidR="00470907">
              <w:rPr>
                <w:rFonts w:asciiTheme="minorHAnsi" w:hAnsiTheme="minorHAnsi" w:cstheme="minorHAnsi"/>
              </w:rPr>
              <w:t>s</w:t>
            </w:r>
            <w:r w:rsidRPr="009F76CC">
              <w:rPr>
                <w:rFonts w:asciiTheme="minorHAnsi" w:hAnsiTheme="minorHAnsi" w:cstheme="minorHAnsi"/>
              </w:rPr>
              <w:t xml:space="preserve"> a to d.</w:t>
            </w:r>
          </w:p>
          <w:p w14:paraId="23860A90" w14:textId="77777777" w:rsidR="009F76CC" w:rsidRPr="009F76CC" w:rsidRDefault="009F76CC" w:rsidP="00AA0F4D">
            <w:pPr>
              <w:widowControl w:val="0"/>
              <w:numPr>
                <w:ilvl w:val="0"/>
                <w:numId w:val="50"/>
              </w:numPr>
              <w:adjustRightInd/>
              <w:spacing w:after="120"/>
              <w:rPr>
                <w:rFonts w:asciiTheme="minorHAnsi" w:hAnsiTheme="minorHAnsi" w:cstheme="minorHAnsi"/>
              </w:rPr>
            </w:pPr>
            <w:r w:rsidRPr="009F76CC">
              <w:rPr>
                <w:rFonts w:asciiTheme="minorHAnsi" w:hAnsiTheme="minorHAnsi" w:cstheme="minorHAnsi"/>
              </w:rPr>
              <w:t>any person with the right to exercise, or who actually exercises, significant influence or control over the supplier</w:t>
            </w:r>
          </w:p>
          <w:p w14:paraId="68500450" w14:textId="77777777" w:rsidR="009F76CC" w:rsidRPr="009F76CC" w:rsidRDefault="009F76CC" w:rsidP="00AA0F4D">
            <w:pPr>
              <w:widowControl w:val="0"/>
              <w:numPr>
                <w:ilvl w:val="0"/>
                <w:numId w:val="50"/>
              </w:numPr>
              <w:adjustRightInd/>
              <w:spacing w:after="120"/>
              <w:rPr>
                <w:rFonts w:asciiTheme="minorHAnsi" w:hAnsiTheme="minorHAnsi" w:cstheme="minorHAnsi"/>
              </w:rPr>
            </w:pPr>
            <w:r w:rsidRPr="009F76CC">
              <w:rPr>
                <w:rFonts w:asciiTheme="minorHAnsi" w:hAnsiTheme="minorHAnsi" w:cstheme="minorHAnsi"/>
              </w:rPr>
              <w:t>any person over which the supplier has the right to exercise, or actually exercises, significant influence or control</w:t>
            </w:r>
          </w:p>
        </w:tc>
      </w:tr>
      <w:tr w:rsidR="009F76CC" w:rsidRPr="0018563A" w14:paraId="294C433D" w14:textId="77777777" w:rsidTr="00007DF0">
        <w:tc>
          <w:tcPr>
            <w:tcW w:w="2807" w:type="dxa"/>
            <w:shd w:val="clear" w:color="auto" w:fill="D9D9D9" w:themeFill="background1" w:themeFillShade="D9"/>
          </w:tcPr>
          <w:p w14:paraId="1941ABC6" w14:textId="77777777" w:rsidR="009F76CC" w:rsidRPr="009F76CC" w:rsidRDefault="009F76CC" w:rsidP="00323DB4">
            <w:pPr>
              <w:pStyle w:val="BodyText1"/>
              <w:spacing w:after="0"/>
              <w:jc w:val="left"/>
              <w:rPr>
                <w:rFonts w:cstheme="minorHAnsi"/>
                <w:sz w:val="20"/>
                <w:szCs w:val="20"/>
              </w:rPr>
            </w:pPr>
            <w:r w:rsidRPr="009F76CC">
              <w:rPr>
                <w:rFonts w:cstheme="minorHAnsi"/>
                <w:sz w:val="20"/>
                <w:szCs w:val="20"/>
              </w:rPr>
              <w:lastRenderedPageBreak/>
              <w:t>Contract</w:t>
            </w:r>
          </w:p>
        </w:tc>
        <w:tc>
          <w:tcPr>
            <w:tcW w:w="5701" w:type="dxa"/>
            <w:shd w:val="clear" w:color="auto" w:fill="D9D9D9" w:themeFill="background1" w:themeFillShade="D9"/>
          </w:tcPr>
          <w:p w14:paraId="07678454" w14:textId="0030E2CA"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 xml:space="preserve">means the </w:t>
            </w:r>
            <w:r w:rsidR="00EC75DA">
              <w:rPr>
                <w:rFonts w:asciiTheme="minorHAnsi" w:hAnsiTheme="minorHAnsi" w:cstheme="minorHAnsi"/>
              </w:rPr>
              <w:t>framework agreement</w:t>
            </w:r>
            <w:r w:rsidRPr="009F76CC">
              <w:rPr>
                <w:rFonts w:asciiTheme="minorHAnsi" w:hAnsiTheme="minorHAnsi" w:cstheme="minorHAnsi"/>
              </w:rPr>
              <w:t xml:space="preserve"> to be entered into by the </w:t>
            </w:r>
            <w:r w:rsidR="00007DF0">
              <w:rPr>
                <w:rFonts w:asciiTheme="minorHAnsi" w:hAnsiTheme="minorHAnsi" w:cstheme="minorHAnsi"/>
              </w:rPr>
              <w:t>Trust</w:t>
            </w:r>
            <w:r w:rsidRPr="009F76CC">
              <w:rPr>
                <w:rFonts w:asciiTheme="minorHAnsi" w:hAnsiTheme="minorHAnsi" w:cstheme="minorHAnsi"/>
              </w:rPr>
              <w:t xml:space="preserve"> with </w:t>
            </w:r>
            <w:r w:rsidR="00EC75DA">
              <w:rPr>
                <w:rFonts w:asciiTheme="minorHAnsi" w:hAnsiTheme="minorHAnsi" w:cstheme="minorHAnsi"/>
              </w:rPr>
              <w:t xml:space="preserve">each of </w:t>
            </w:r>
            <w:r w:rsidRPr="009F76CC">
              <w:rPr>
                <w:rFonts w:asciiTheme="minorHAnsi" w:hAnsiTheme="minorHAnsi" w:cstheme="minorHAnsi"/>
              </w:rPr>
              <w:t>the successful Supplier</w:t>
            </w:r>
            <w:r w:rsidR="00EC75DA">
              <w:rPr>
                <w:rFonts w:asciiTheme="minorHAnsi" w:hAnsiTheme="minorHAnsi" w:cstheme="minorHAnsi"/>
              </w:rPr>
              <w:t>s</w:t>
            </w:r>
            <w:r w:rsidRPr="009F76CC">
              <w:rPr>
                <w:rFonts w:asciiTheme="minorHAnsi" w:hAnsiTheme="minorHAnsi" w:cstheme="minorHAnsi"/>
              </w:rPr>
              <w:t>.</w:t>
            </w:r>
          </w:p>
        </w:tc>
      </w:tr>
      <w:tr w:rsidR="009F76CC" w:rsidRPr="0018563A" w14:paraId="1C50CFD5" w14:textId="77777777" w:rsidTr="00007DF0">
        <w:tc>
          <w:tcPr>
            <w:tcW w:w="2807" w:type="dxa"/>
            <w:shd w:val="clear" w:color="auto" w:fill="D9D9D9" w:themeFill="background1" w:themeFillShade="D9"/>
          </w:tcPr>
          <w:p w14:paraId="6DBC41E4" w14:textId="37C3BD5A" w:rsidR="009F76CC" w:rsidRPr="009F76CC" w:rsidRDefault="009F76CC" w:rsidP="00323DB4">
            <w:pPr>
              <w:pStyle w:val="BodyText1"/>
              <w:spacing w:after="0"/>
              <w:jc w:val="left"/>
              <w:rPr>
                <w:rFonts w:cstheme="minorHAnsi"/>
                <w:sz w:val="20"/>
                <w:szCs w:val="20"/>
              </w:rPr>
            </w:pPr>
            <w:r w:rsidRPr="009F76CC">
              <w:rPr>
                <w:rFonts w:cstheme="minorHAnsi"/>
                <w:sz w:val="20"/>
                <w:szCs w:val="20"/>
              </w:rPr>
              <w:t xml:space="preserve">Core </w:t>
            </w:r>
            <w:r w:rsidR="00EC75DA">
              <w:rPr>
                <w:rFonts w:cstheme="minorHAnsi"/>
                <w:sz w:val="20"/>
                <w:szCs w:val="20"/>
              </w:rPr>
              <w:t>S</w:t>
            </w:r>
            <w:r w:rsidRPr="009F76CC">
              <w:rPr>
                <w:rFonts w:cstheme="minorHAnsi"/>
                <w:sz w:val="20"/>
                <w:szCs w:val="20"/>
              </w:rPr>
              <w:t xml:space="preserve">upplier </w:t>
            </w:r>
            <w:r w:rsidR="00EC75DA">
              <w:rPr>
                <w:rFonts w:cstheme="minorHAnsi"/>
                <w:sz w:val="20"/>
                <w:szCs w:val="20"/>
              </w:rPr>
              <w:t>I</w:t>
            </w:r>
            <w:r w:rsidRPr="009F76CC">
              <w:rPr>
                <w:rFonts w:cstheme="minorHAnsi"/>
                <w:sz w:val="20"/>
                <w:szCs w:val="20"/>
              </w:rPr>
              <w:t>nformation</w:t>
            </w:r>
          </w:p>
        </w:tc>
        <w:tc>
          <w:tcPr>
            <w:tcW w:w="5701" w:type="dxa"/>
            <w:shd w:val="clear" w:color="auto" w:fill="D9D9D9" w:themeFill="background1" w:themeFillShade="D9"/>
          </w:tcPr>
          <w:p w14:paraId="6A38B3A6" w14:textId="77777777"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as defined in regulation 6(9) of the Procurement Regulations 2024.</w:t>
            </w:r>
          </w:p>
        </w:tc>
      </w:tr>
      <w:tr w:rsidR="009F76CC" w:rsidRPr="0018563A" w14:paraId="6E925110" w14:textId="77777777" w:rsidTr="00007DF0">
        <w:tc>
          <w:tcPr>
            <w:tcW w:w="2807" w:type="dxa"/>
            <w:shd w:val="clear" w:color="auto" w:fill="D9D9D9" w:themeFill="background1" w:themeFillShade="D9"/>
          </w:tcPr>
          <w:p w14:paraId="6341E0C3" w14:textId="6B43FB30" w:rsidR="009F76CC" w:rsidRPr="009F76CC" w:rsidRDefault="009F76CC" w:rsidP="00323DB4">
            <w:pPr>
              <w:pStyle w:val="BodyText1"/>
              <w:spacing w:after="0"/>
              <w:jc w:val="left"/>
              <w:rPr>
                <w:rFonts w:cstheme="minorHAnsi"/>
                <w:sz w:val="20"/>
                <w:szCs w:val="20"/>
              </w:rPr>
            </w:pPr>
            <w:r w:rsidRPr="009F76CC">
              <w:rPr>
                <w:rFonts w:cstheme="minorHAnsi"/>
                <w:sz w:val="20"/>
                <w:szCs w:val="20"/>
              </w:rPr>
              <w:t xml:space="preserve">Excluded </w:t>
            </w:r>
            <w:r w:rsidR="00EC75DA">
              <w:rPr>
                <w:rFonts w:cstheme="minorHAnsi"/>
                <w:sz w:val="20"/>
                <w:szCs w:val="20"/>
              </w:rPr>
              <w:t>S</w:t>
            </w:r>
            <w:r w:rsidRPr="009F76CC">
              <w:rPr>
                <w:rFonts w:cstheme="minorHAnsi"/>
                <w:sz w:val="20"/>
                <w:szCs w:val="20"/>
              </w:rPr>
              <w:t>upplier</w:t>
            </w:r>
          </w:p>
        </w:tc>
        <w:tc>
          <w:tcPr>
            <w:tcW w:w="5701" w:type="dxa"/>
            <w:shd w:val="clear" w:color="auto" w:fill="D9D9D9" w:themeFill="background1" w:themeFillShade="D9"/>
          </w:tcPr>
          <w:p w14:paraId="7158967E" w14:textId="70E7DEBC"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 xml:space="preserve">means a Supplier where the </w:t>
            </w:r>
            <w:r w:rsidR="00007DF0">
              <w:rPr>
                <w:rFonts w:asciiTheme="minorHAnsi" w:hAnsiTheme="minorHAnsi" w:cstheme="minorHAnsi"/>
              </w:rPr>
              <w:t>Trust</w:t>
            </w:r>
            <w:r w:rsidRPr="009F76CC">
              <w:rPr>
                <w:rFonts w:asciiTheme="minorHAnsi" w:hAnsiTheme="minorHAnsi" w:cstheme="minorHAnsi"/>
              </w:rPr>
              <w:t xml:space="preserve"> considers, firstly, that a </w:t>
            </w:r>
            <w:r w:rsidRPr="009F76CC">
              <w:rPr>
                <w:rFonts w:asciiTheme="minorHAnsi" w:hAnsiTheme="minorHAnsi" w:cstheme="minorHAnsi"/>
                <w:b/>
                <w:bCs/>
              </w:rPr>
              <w:t>mandatory exclusion</w:t>
            </w:r>
            <w:r w:rsidRPr="009F76CC">
              <w:rPr>
                <w:rFonts w:asciiTheme="minorHAnsi" w:hAnsiTheme="minorHAnsi" w:cstheme="minorHAnsi"/>
              </w:rPr>
              <w:t xml:space="preserve"> ground applies to the </w:t>
            </w:r>
            <w:r w:rsidR="00EC75DA">
              <w:rPr>
                <w:rFonts w:asciiTheme="minorHAnsi" w:hAnsiTheme="minorHAnsi" w:cstheme="minorHAnsi"/>
              </w:rPr>
              <w:t>S</w:t>
            </w:r>
            <w:r w:rsidRPr="009F76CC">
              <w:rPr>
                <w:rFonts w:asciiTheme="minorHAnsi" w:hAnsiTheme="minorHAnsi" w:cstheme="minorHAnsi"/>
              </w:rPr>
              <w:t xml:space="preserve">upplier or an </w:t>
            </w:r>
            <w:r w:rsidR="00EC75DA">
              <w:rPr>
                <w:rFonts w:asciiTheme="minorHAnsi" w:hAnsiTheme="minorHAnsi" w:cstheme="minorHAnsi"/>
              </w:rPr>
              <w:t>A</w:t>
            </w:r>
            <w:r w:rsidRPr="009F76CC">
              <w:rPr>
                <w:rFonts w:asciiTheme="minorHAnsi" w:hAnsiTheme="minorHAnsi" w:cstheme="minorHAnsi"/>
              </w:rPr>
              <w:t xml:space="preserve">ssociated </w:t>
            </w:r>
            <w:r w:rsidR="00EC75DA">
              <w:rPr>
                <w:rFonts w:asciiTheme="minorHAnsi" w:hAnsiTheme="minorHAnsi" w:cstheme="minorHAnsi"/>
              </w:rPr>
              <w:t>P</w:t>
            </w:r>
            <w:r w:rsidRPr="009F76CC">
              <w:rPr>
                <w:rFonts w:asciiTheme="minorHAnsi" w:hAnsiTheme="minorHAnsi" w:cstheme="minorHAnsi"/>
              </w:rPr>
              <w:t xml:space="preserve">erson and, secondly, that the circumstances giving rise to the exclusion ground are continuing or likely to occur again. A </w:t>
            </w:r>
            <w:r w:rsidR="00EC75DA">
              <w:rPr>
                <w:rFonts w:asciiTheme="minorHAnsi" w:hAnsiTheme="minorHAnsi" w:cstheme="minorHAnsi"/>
              </w:rPr>
              <w:t>S</w:t>
            </w:r>
            <w:r w:rsidRPr="009F76CC">
              <w:rPr>
                <w:rFonts w:asciiTheme="minorHAnsi" w:hAnsiTheme="minorHAnsi" w:cstheme="minorHAnsi"/>
              </w:rPr>
              <w:t xml:space="preserve">upplier will also be an </w:t>
            </w:r>
            <w:r w:rsidR="00EC75DA">
              <w:rPr>
                <w:rFonts w:asciiTheme="minorHAnsi" w:hAnsiTheme="minorHAnsi" w:cstheme="minorHAnsi"/>
              </w:rPr>
              <w:t>E</w:t>
            </w:r>
            <w:r w:rsidRPr="009F76CC">
              <w:rPr>
                <w:rFonts w:asciiTheme="minorHAnsi" w:hAnsiTheme="minorHAnsi" w:cstheme="minorHAnsi"/>
              </w:rPr>
              <w:t xml:space="preserve">xcluded </w:t>
            </w:r>
            <w:r w:rsidR="00EC75DA">
              <w:rPr>
                <w:rFonts w:asciiTheme="minorHAnsi" w:hAnsiTheme="minorHAnsi" w:cstheme="minorHAnsi"/>
              </w:rPr>
              <w:t>S</w:t>
            </w:r>
            <w:r w:rsidRPr="009F76CC">
              <w:rPr>
                <w:rFonts w:asciiTheme="minorHAnsi" w:hAnsiTheme="minorHAnsi" w:cstheme="minorHAnsi"/>
              </w:rPr>
              <w:t xml:space="preserve">upplier where a Minister of the Crown has already determined this – i.e. where the </w:t>
            </w:r>
            <w:r w:rsidR="00EC75DA">
              <w:rPr>
                <w:rFonts w:asciiTheme="minorHAnsi" w:hAnsiTheme="minorHAnsi" w:cstheme="minorHAnsi"/>
              </w:rPr>
              <w:t>S</w:t>
            </w:r>
            <w:r w:rsidRPr="009F76CC">
              <w:rPr>
                <w:rFonts w:asciiTheme="minorHAnsi" w:hAnsiTheme="minorHAnsi" w:cstheme="minorHAnsi"/>
              </w:rPr>
              <w:t xml:space="preserve">upplier or an </w:t>
            </w:r>
            <w:r w:rsidR="00EC75DA">
              <w:rPr>
                <w:rFonts w:asciiTheme="minorHAnsi" w:hAnsiTheme="minorHAnsi" w:cstheme="minorHAnsi"/>
              </w:rPr>
              <w:t>A</w:t>
            </w:r>
            <w:r w:rsidRPr="009F76CC">
              <w:rPr>
                <w:rFonts w:asciiTheme="minorHAnsi" w:hAnsiTheme="minorHAnsi" w:cstheme="minorHAnsi"/>
              </w:rPr>
              <w:t xml:space="preserve">ssociated </w:t>
            </w:r>
            <w:r w:rsidR="00EC75DA">
              <w:rPr>
                <w:rFonts w:asciiTheme="minorHAnsi" w:hAnsiTheme="minorHAnsi" w:cstheme="minorHAnsi"/>
              </w:rPr>
              <w:t>P</w:t>
            </w:r>
            <w:r w:rsidRPr="009F76CC">
              <w:rPr>
                <w:rFonts w:asciiTheme="minorHAnsi" w:hAnsiTheme="minorHAnsi" w:cstheme="minorHAnsi"/>
              </w:rPr>
              <w:t>erson is on the debarment list because of a mandatory exclusion ground.</w:t>
            </w:r>
          </w:p>
        </w:tc>
      </w:tr>
      <w:tr w:rsidR="009F76CC" w:rsidRPr="0018563A" w14:paraId="1CC2F315" w14:textId="77777777" w:rsidTr="00007DF0">
        <w:tc>
          <w:tcPr>
            <w:tcW w:w="2807" w:type="dxa"/>
            <w:shd w:val="clear" w:color="auto" w:fill="D9D9D9" w:themeFill="background1" w:themeFillShade="D9"/>
          </w:tcPr>
          <w:p w14:paraId="7E3CC539" w14:textId="0A58CE75" w:rsidR="009F76CC" w:rsidRPr="009F76CC" w:rsidRDefault="009F76CC" w:rsidP="00323DB4">
            <w:pPr>
              <w:pStyle w:val="BodyText1"/>
              <w:spacing w:after="0"/>
              <w:jc w:val="left"/>
              <w:rPr>
                <w:rFonts w:cstheme="minorHAnsi"/>
                <w:sz w:val="20"/>
                <w:szCs w:val="20"/>
              </w:rPr>
            </w:pPr>
            <w:r w:rsidRPr="009F76CC">
              <w:rPr>
                <w:rFonts w:cstheme="minorHAnsi"/>
                <w:sz w:val="20"/>
                <w:szCs w:val="20"/>
              </w:rPr>
              <w:t xml:space="preserve">Excludable </w:t>
            </w:r>
            <w:r w:rsidR="00EC75DA">
              <w:rPr>
                <w:rFonts w:cstheme="minorHAnsi"/>
                <w:sz w:val="20"/>
                <w:szCs w:val="20"/>
              </w:rPr>
              <w:t>S</w:t>
            </w:r>
            <w:r w:rsidRPr="009F76CC">
              <w:rPr>
                <w:rFonts w:cstheme="minorHAnsi"/>
                <w:sz w:val="20"/>
                <w:szCs w:val="20"/>
              </w:rPr>
              <w:t>upplier</w:t>
            </w:r>
          </w:p>
        </w:tc>
        <w:tc>
          <w:tcPr>
            <w:tcW w:w="5701" w:type="dxa"/>
            <w:shd w:val="clear" w:color="auto" w:fill="D9D9D9" w:themeFill="background1" w:themeFillShade="D9"/>
          </w:tcPr>
          <w:p w14:paraId="7C6729FE" w14:textId="716CBCB1"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 xml:space="preserve">means a Supplier where the </w:t>
            </w:r>
            <w:r w:rsidR="00007DF0">
              <w:rPr>
                <w:rFonts w:asciiTheme="minorHAnsi" w:hAnsiTheme="minorHAnsi" w:cstheme="minorHAnsi"/>
              </w:rPr>
              <w:t>Trust</w:t>
            </w:r>
            <w:r w:rsidRPr="009F76CC">
              <w:rPr>
                <w:rFonts w:asciiTheme="minorHAnsi" w:hAnsiTheme="minorHAnsi" w:cstheme="minorHAnsi"/>
              </w:rPr>
              <w:t xml:space="preserve"> considers, firstly, that a </w:t>
            </w:r>
            <w:r w:rsidRPr="009F76CC">
              <w:rPr>
                <w:rFonts w:asciiTheme="minorHAnsi" w:hAnsiTheme="minorHAnsi" w:cstheme="minorHAnsi"/>
                <w:b/>
                <w:bCs/>
              </w:rPr>
              <w:t>discretionary exclusion</w:t>
            </w:r>
            <w:r w:rsidRPr="009F76CC">
              <w:rPr>
                <w:rFonts w:asciiTheme="minorHAnsi" w:hAnsiTheme="minorHAnsi" w:cstheme="minorHAnsi"/>
              </w:rPr>
              <w:t xml:space="preserve"> ground applies to the </w:t>
            </w:r>
            <w:r w:rsidR="00EC75DA">
              <w:rPr>
                <w:rFonts w:asciiTheme="minorHAnsi" w:hAnsiTheme="minorHAnsi" w:cstheme="minorHAnsi"/>
              </w:rPr>
              <w:t>S</w:t>
            </w:r>
            <w:r w:rsidRPr="009F76CC">
              <w:rPr>
                <w:rFonts w:asciiTheme="minorHAnsi" w:hAnsiTheme="minorHAnsi" w:cstheme="minorHAnsi"/>
              </w:rPr>
              <w:t xml:space="preserve">upplier or an </w:t>
            </w:r>
            <w:r w:rsidR="00EC75DA">
              <w:rPr>
                <w:rFonts w:asciiTheme="minorHAnsi" w:hAnsiTheme="minorHAnsi" w:cstheme="minorHAnsi"/>
              </w:rPr>
              <w:t>A</w:t>
            </w:r>
            <w:r w:rsidRPr="009F76CC">
              <w:rPr>
                <w:rFonts w:asciiTheme="minorHAnsi" w:hAnsiTheme="minorHAnsi" w:cstheme="minorHAnsi"/>
              </w:rPr>
              <w:t xml:space="preserve">ssociated </w:t>
            </w:r>
            <w:r w:rsidR="00EC75DA">
              <w:rPr>
                <w:rFonts w:asciiTheme="minorHAnsi" w:hAnsiTheme="minorHAnsi" w:cstheme="minorHAnsi"/>
              </w:rPr>
              <w:t>P</w:t>
            </w:r>
            <w:r w:rsidRPr="009F76CC">
              <w:rPr>
                <w:rFonts w:asciiTheme="minorHAnsi" w:hAnsiTheme="minorHAnsi" w:cstheme="minorHAnsi"/>
              </w:rPr>
              <w:t xml:space="preserve">erson and, secondly, that the circumstances giving rise to the exclusion ground are continuing or likely to occur again. A </w:t>
            </w:r>
            <w:r w:rsidR="00EC75DA">
              <w:rPr>
                <w:rFonts w:asciiTheme="minorHAnsi" w:hAnsiTheme="minorHAnsi" w:cstheme="minorHAnsi"/>
              </w:rPr>
              <w:t>S</w:t>
            </w:r>
            <w:r w:rsidRPr="009F76CC">
              <w:rPr>
                <w:rFonts w:asciiTheme="minorHAnsi" w:hAnsiTheme="minorHAnsi" w:cstheme="minorHAnsi"/>
              </w:rPr>
              <w:t xml:space="preserve">upplier will also be an </w:t>
            </w:r>
            <w:r w:rsidR="00EC75DA">
              <w:rPr>
                <w:rFonts w:asciiTheme="minorHAnsi" w:hAnsiTheme="minorHAnsi" w:cstheme="minorHAnsi"/>
              </w:rPr>
              <w:t>E</w:t>
            </w:r>
            <w:r w:rsidRPr="009F76CC">
              <w:rPr>
                <w:rFonts w:asciiTheme="minorHAnsi" w:hAnsiTheme="minorHAnsi" w:cstheme="minorHAnsi"/>
              </w:rPr>
              <w:t xml:space="preserve">xcludable </w:t>
            </w:r>
            <w:r w:rsidR="00EC75DA">
              <w:rPr>
                <w:rFonts w:asciiTheme="minorHAnsi" w:hAnsiTheme="minorHAnsi" w:cstheme="minorHAnsi"/>
              </w:rPr>
              <w:t>S</w:t>
            </w:r>
            <w:r w:rsidRPr="009F76CC">
              <w:rPr>
                <w:rFonts w:asciiTheme="minorHAnsi" w:hAnsiTheme="minorHAnsi" w:cstheme="minorHAnsi"/>
              </w:rPr>
              <w:t xml:space="preserve">upplier where a Minister of the Crown has already determined this – i.e. where the </w:t>
            </w:r>
            <w:r w:rsidR="00EC75DA">
              <w:rPr>
                <w:rFonts w:asciiTheme="minorHAnsi" w:hAnsiTheme="minorHAnsi" w:cstheme="minorHAnsi"/>
              </w:rPr>
              <w:t>S</w:t>
            </w:r>
            <w:r w:rsidRPr="009F76CC">
              <w:rPr>
                <w:rFonts w:asciiTheme="minorHAnsi" w:hAnsiTheme="minorHAnsi" w:cstheme="minorHAnsi"/>
              </w:rPr>
              <w:t xml:space="preserve">upplier or an </w:t>
            </w:r>
            <w:r w:rsidR="00EC75DA">
              <w:rPr>
                <w:rFonts w:asciiTheme="minorHAnsi" w:hAnsiTheme="minorHAnsi" w:cstheme="minorHAnsi"/>
              </w:rPr>
              <w:t>A</w:t>
            </w:r>
            <w:r w:rsidRPr="009F76CC">
              <w:rPr>
                <w:rFonts w:asciiTheme="minorHAnsi" w:hAnsiTheme="minorHAnsi" w:cstheme="minorHAnsi"/>
              </w:rPr>
              <w:t xml:space="preserve">ssociated </w:t>
            </w:r>
            <w:r w:rsidR="00EC75DA">
              <w:rPr>
                <w:rFonts w:asciiTheme="minorHAnsi" w:hAnsiTheme="minorHAnsi" w:cstheme="minorHAnsi"/>
              </w:rPr>
              <w:t>P</w:t>
            </w:r>
            <w:r w:rsidRPr="009F76CC">
              <w:rPr>
                <w:rFonts w:asciiTheme="minorHAnsi" w:hAnsiTheme="minorHAnsi" w:cstheme="minorHAnsi"/>
              </w:rPr>
              <w:t>erson is on the debarment list because of a discretionary exclusion ground.</w:t>
            </w:r>
          </w:p>
        </w:tc>
      </w:tr>
      <w:tr w:rsidR="009F76CC" w:rsidRPr="0018563A" w14:paraId="460DBA89" w14:textId="77777777" w:rsidTr="00007DF0">
        <w:tc>
          <w:tcPr>
            <w:tcW w:w="2807" w:type="dxa"/>
            <w:shd w:val="clear" w:color="auto" w:fill="D9D9D9" w:themeFill="background1" w:themeFillShade="D9"/>
          </w:tcPr>
          <w:p w14:paraId="7DF41F34" w14:textId="738FB3A1" w:rsidR="009F76CC" w:rsidRPr="009F76CC" w:rsidRDefault="009F76CC" w:rsidP="00323DB4">
            <w:pPr>
              <w:pStyle w:val="BodyText1"/>
              <w:spacing w:after="0"/>
              <w:jc w:val="left"/>
              <w:rPr>
                <w:rFonts w:cstheme="minorHAnsi"/>
                <w:sz w:val="20"/>
                <w:szCs w:val="20"/>
              </w:rPr>
            </w:pPr>
            <w:r w:rsidRPr="009F76CC">
              <w:rPr>
                <w:rFonts w:cstheme="minorHAnsi"/>
                <w:sz w:val="20"/>
                <w:szCs w:val="20"/>
              </w:rPr>
              <w:t xml:space="preserve">Intended </w:t>
            </w:r>
            <w:r w:rsidR="00EC75DA">
              <w:rPr>
                <w:rFonts w:cstheme="minorHAnsi"/>
                <w:sz w:val="20"/>
                <w:szCs w:val="20"/>
              </w:rPr>
              <w:t>S</w:t>
            </w:r>
            <w:r w:rsidRPr="009F76CC">
              <w:rPr>
                <w:rFonts w:cstheme="minorHAnsi"/>
                <w:sz w:val="20"/>
                <w:szCs w:val="20"/>
              </w:rPr>
              <w:t>ub-contractor</w:t>
            </w:r>
          </w:p>
        </w:tc>
        <w:tc>
          <w:tcPr>
            <w:tcW w:w="5701" w:type="dxa"/>
            <w:shd w:val="clear" w:color="auto" w:fill="D9D9D9" w:themeFill="background1" w:themeFillShade="D9"/>
          </w:tcPr>
          <w:p w14:paraId="195DFF09" w14:textId="77777777" w:rsidR="009F76CC" w:rsidRPr="009F76CC" w:rsidRDefault="009F76CC" w:rsidP="0035109B">
            <w:pPr>
              <w:widowControl w:val="0"/>
              <w:spacing w:after="120"/>
              <w:rPr>
                <w:rFonts w:asciiTheme="minorHAnsi" w:hAnsiTheme="minorHAnsi" w:cstheme="minorHAnsi"/>
              </w:rPr>
            </w:pPr>
            <w:r w:rsidRPr="009F76CC">
              <w:rPr>
                <w:rFonts w:asciiTheme="minorHAnsi" w:hAnsiTheme="minorHAnsi" w:cstheme="minorHAnsi"/>
              </w:rPr>
              <w:t>means any sub-contractor(s) that a Supplier intends to use as part of the procurement (i.e. to sub-contract the performance of all or part of the Contract to).</w:t>
            </w:r>
          </w:p>
        </w:tc>
      </w:tr>
      <w:tr w:rsidR="009F76CC" w:rsidRPr="0018563A" w14:paraId="0F18FF88" w14:textId="77777777" w:rsidTr="00007DF0">
        <w:tc>
          <w:tcPr>
            <w:tcW w:w="2807" w:type="dxa"/>
            <w:shd w:val="clear" w:color="auto" w:fill="D9D9D9" w:themeFill="background1" w:themeFillShade="D9"/>
          </w:tcPr>
          <w:p w14:paraId="17B9F170" w14:textId="77777777" w:rsidR="009F76CC" w:rsidRPr="009F76CC" w:rsidRDefault="009F76CC" w:rsidP="00323DB4">
            <w:pPr>
              <w:pStyle w:val="BodyText1"/>
              <w:spacing w:after="0"/>
              <w:jc w:val="left"/>
              <w:rPr>
                <w:rFonts w:cstheme="minorHAnsi"/>
                <w:sz w:val="20"/>
                <w:szCs w:val="20"/>
              </w:rPr>
            </w:pPr>
            <w:r w:rsidRPr="009F76CC">
              <w:rPr>
                <w:rFonts w:cstheme="minorHAnsi"/>
                <w:sz w:val="20"/>
                <w:szCs w:val="20"/>
              </w:rPr>
              <w:t>Invitation to Tender or ITT</w:t>
            </w:r>
          </w:p>
        </w:tc>
        <w:tc>
          <w:tcPr>
            <w:tcW w:w="5701" w:type="dxa"/>
            <w:shd w:val="clear" w:color="auto" w:fill="D9D9D9" w:themeFill="background1" w:themeFillShade="D9"/>
          </w:tcPr>
          <w:p w14:paraId="53701D18"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means this document, including its associated appendices, as may be updated throughout the Procurement</w:t>
            </w:r>
          </w:p>
        </w:tc>
      </w:tr>
      <w:tr w:rsidR="009F76CC" w:rsidRPr="0018563A" w14:paraId="5FDB7823" w14:textId="77777777" w:rsidTr="00007DF0">
        <w:tc>
          <w:tcPr>
            <w:tcW w:w="2807" w:type="dxa"/>
            <w:shd w:val="clear" w:color="auto" w:fill="D9D9D9" w:themeFill="background1" w:themeFillShade="D9"/>
          </w:tcPr>
          <w:p w14:paraId="4D0FC7C4" w14:textId="77777777" w:rsidR="009F76CC" w:rsidRPr="009F76CC" w:rsidRDefault="009F76CC" w:rsidP="00323DB4">
            <w:pPr>
              <w:pStyle w:val="BodyText1"/>
              <w:spacing w:after="0"/>
              <w:jc w:val="left"/>
              <w:rPr>
                <w:rFonts w:cstheme="minorHAnsi"/>
                <w:sz w:val="20"/>
                <w:szCs w:val="20"/>
              </w:rPr>
            </w:pPr>
            <w:r w:rsidRPr="009F76CC">
              <w:rPr>
                <w:rFonts w:cstheme="minorHAnsi"/>
                <w:sz w:val="20"/>
                <w:szCs w:val="20"/>
              </w:rPr>
              <w:t>Key Performance Indicators or KPIs</w:t>
            </w:r>
          </w:p>
        </w:tc>
        <w:tc>
          <w:tcPr>
            <w:tcW w:w="5701" w:type="dxa"/>
            <w:shd w:val="clear" w:color="auto" w:fill="D9D9D9" w:themeFill="background1" w:themeFillShade="D9"/>
          </w:tcPr>
          <w:p w14:paraId="716F8F5B"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means the key performance indicators (KPIs) set out in the Services Specification.</w:t>
            </w:r>
          </w:p>
        </w:tc>
      </w:tr>
      <w:tr w:rsidR="009F76CC" w:rsidRPr="0018563A" w14:paraId="0084FB4B" w14:textId="77777777" w:rsidTr="00007DF0">
        <w:tc>
          <w:tcPr>
            <w:tcW w:w="2807" w:type="dxa"/>
            <w:shd w:val="clear" w:color="auto" w:fill="D9D9D9" w:themeFill="background1" w:themeFillShade="D9"/>
          </w:tcPr>
          <w:p w14:paraId="019CCE14" w14:textId="77777777" w:rsidR="009F76CC" w:rsidRPr="009F76CC" w:rsidRDefault="009F76CC" w:rsidP="00323DB4">
            <w:pPr>
              <w:pStyle w:val="BodyText1"/>
              <w:spacing w:after="0"/>
              <w:jc w:val="left"/>
              <w:rPr>
                <w:rFonts w:cstheme="minorHAnsi"/>
                <w:sz w:val="20"/>
                <w:szCs w:val="20"/>
              </w:rPr>
            </w:pPr>
            <w:r w:rsidRPr="009F76CC">
              <w:rPr>
                <w:rFonts w:cstheme="minorHAnsi"/>
                <w:sz w:val="20"/>
                <w:szCs w:val="20"/>
              </w:rPr>
              <w:t xml:space="preserve">Open Procedure </w:t>
            </w:r>
          </w:p>
        </w:tc>
        <w:tc>
          <w:tcPr>
            <w:tcW w:w="5701" w:type="dxa"/>
            <w:shd w:val="clear" w:color="auto" w:fill="D9D9D9" w:themeFill="background1" w:themeFillShade="D9"/>
          </w:tcPr>
          <w:p w14:paraId="779A964D"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 xml:space="preserve">means an open procedure as defined in section 20 of the Act. </w:t>
            </w:r>
          </w:p>
        </w:tc>
      </w:tr>
      <w:tr w:rsidR="009F76CC" w:rsidRPr="0018563A" w14:paraId="2D9CD229" w14:textId="77777777" w:rsidTr="00007DF0">
        <w:tc>
          <w:tcPr>
            <w:tcW w:w="2807" w:type="dxa"/>
            <w:shd w:val="clear" w:color="auto" w:fill="D9D9D9" w:themeFill="background1" w:themeFillShade="D9"/>
          </w:tcPr>
          <w:p w14:paraId="08A919E2" w14:textId="77777777" w:rsidR="009F76CC" w:rsidRPr="009F76CC" w:rsidRDefault="009F76CC" w:rsidP="00323DB4">
            <w:pPr>
              <w:pStyle w:val="BodyText1"/>
              <w:spacing w:after="0"/>
              <w:jc w:val="left"/>
              <w:rPr>
                <w:rFonts w:cstheme="minorHAnsi"/>
                <w:sz w:val="20"/>
                <w:szCs w:val="20"/>
              </w:rPr>
            </w:pPr>
            <w:r w:rsidRPr="009F76CC">
              <w:rPr>
                <w:rFonts w:cstheme="minorHAnsi"/>
                <w:sz w:val="20"/>
                <w:szCs w:val="20"/>
              </w:rPr>
              <w:t>Participation Stage</w:t>
            </w:r>
          </w:p>
        </w:tc>
        <w:tc>
          <w:tcPr>
            <w:tcW w:w="5701" w:type="dxa"/>
            <w:shd w:val="clear" w:color="auto" w:fill="D9D9D9" w:themeFill="background1" w:themeFillShade="D9"/>
          </w:tcPr>
          <w:p w14:paraId="5A5297F7"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means step 2 of the evaluation process described in Section 5 (The Procurement Process) of this ITT</w:t>
            </w:r>
          </w:p>
        </w:tc>
      </w:tr>
      <w:tr w:rsidR="009F76CC" w:rsidRPr="0018563A" w14:paraId="099F8347" w14:textId="77777777" w:rsidTr="00007DF0">
        <w:tc>
          <w:tcPr>
            <w:tcW w:w="2807" w:type="dxa"/>
            <w:shd w:val="clear" w:color="auto" w:fill="D9D9D9" w:themeFill="background1" w:themeFillShade="D9"/>
          </w:tcPr>
          <w:p w14:paraId="10021061" w14:textId="77777777" w:rsidR="009F76CC" w:rsidRPr="009F76CC" w:rsidRDefault="009F76CC" w:rsidP="00323DB4">
            <w:pPr>
              <w:pStyle w:val="BodyText1"/>
              <w:spacing w:after="0"/>
              <w:jc w:val="left"/>
              <w:rPr>
                <w:rFonts w:cstheme="minorHAnsi"/>
                <w:sz w:val="20"/>
                <w:szCs w:val="20"/>
              </w:rPr>
            </w:pPr>
            <w:r w:rsidRPr="009F76CC">
              <w:rPr>
                <w:rFonts w:cstheme="minorHAnsi"/>
                <w:sz w:val="20"/>
                <w:szCs w:val="20"/>
              </w:rPr>
              <w:t>Procurement</w:t>
            </w:r>
          </w:p>
        </w:tc>
        <w:tc>
          <w:tcPr>
            <w:tcW w:w="5701" w:type="dxa"/>
            <w:shd w:val="clear" w:color="auto" w:fill="D9D9D9" w:themeFill="background1" w:themeFillShade="D9"/>
          </w:tcPr>
          <w:p w14:paraId="3A3B224C"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means this Open Procedure procurement process.</w:t>
            </w:r>
          </w:p>
        </w:tc>
      </w:tr>
      <w:tr w:rsidR="009F76CC" w:rsidRPr="0018563A" w14:paraId="6FF448B9" w14:textId="77777777" w:rsidTr="00007DF0">
        <w:tc>
          <w:tcPr>
            <w:tcW w:w="2807" w:type="dxa"/>
            <w:shd w:val="clear" w:color="auto" w:fill="D9D9D9" w:themeFill="background1" w:themeFillShade="D9"/>
          </w:tcPr>
          <w:p w14:paraId="477BF34A" w14:textId="77777777" w:rsidR="009F76CC" w:rsidRPr="009F76CC" w:rsidRDefault="009F76CC" w:rsidP="00323DB4">
            <w:pPr>
              <w:pStyle w:val="BodyText1"/>
              <w:spacing w:after="0"/>
              <w:jc w:val="left"/>
              <w:rPr>
                <w:rFonts w:cstheme="minorHAnsi"/>
                <w:sz w:val="20"/>
                <w:szCs w:val="20"/>
              </w:rPr>
            </w:pPr>
            <w:r w:rsidRPr="009F76CC">
              <w:rPr>
                <w:rFonts w:cstheme="minorHAnsi"/>
                <w:sz w:val="20"/>
                <w:szCs w:val="20"/>
              </w:rPr>
              <w:t>Procurement Specific Questionnaire or PSQ</w:t>
            </w:r>
          </w:p>
        </w:tc>
        <w:tc>
          <w:tcPr>
            <w:tcW w:w="5701" w:type="dxa"/>
            <w:shd w:val="clear" w:color="auto" w:fill="D9D9D9" w:themeFill="background1" w:themeFillShade="D9"/>
          </w:tcPr>
          <w:p w14:paraId="79313612"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 xml:space="preserve">means the procurement specific questionnaire included in Appendix C of this ITT. </w:t>
            </w:r>
          </w:p>
        </w:tc>
      </w:tr>
      <w:tr w:rsidR="009F76CC" w:rsidRPr="0018563A" w14:paraId="78BE997C" w14:textId="77777777" w:rsidTr="00007DF0">
        <w:tc>
          <w:tcPr>
            <w:tcW w:w="2807" w:type="dxa"/>
            <w:shd w:val="clear" w:color="auto" w:fill="D9D9D9" w:themeFill="background1" w:themeFillShade="D9"/>
          </w:tcPr>
          <w:p w14:paraId="0996C889" w14:textId="77777777" w:rsidR="009F76CC" w:rsidRPr="009F76CC" w:rsidRDefault="009F76CC" w:rsidP="00323DB4">
            <w:pPr>
              <w:pStyle w:val="BodyText1"/>
              <w:spacing w:after="0"/>
              <w:jc w:val="left"/>
              <w:rPr>
                <w:rFonts w:cstheme="minorHAnsi"/>
                <w:sz w:val="20"/>
                <w:szCs w:val="20"/>
              </w:rPr>
            </w:pPr>
            <w:r w:rsidRPr="009F76CC">
              <w:rPr>
                <w:rFonts w:cstheme="minorHAnsi"/>
                <w:sz w:val="20"/>
                <w:szCs w:val="20"/>
              </w:rPr>
              <w:t>Procurement Timetable</w:t>
            </w:r>
          </w:p>
        </w:tc>
        <w:tc>
          <w:tcPr>
            <w:tcW w:w="5701" w:type="dxa"/>
            <w:shd w:val="clear" w:color="auto" w:fill="D9D9D9" w:themeFill="background1" w:themeFillShade="D9"/>
          </w:tcPr>
          <w:p w14:paraId="7897F5D3"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means the timetable for this Procurement as set out in Section 6 (Procurement timetable) of this ITT.</w:t>
            </w:r>
          </w:p>
        </w:tc>
      </w:tr>
      <w:tr w:rsidR="009F76CC" w:rsidRPr="0018563A" w14:paraId="6883854B" w14:textId="77777777" w:rsidTr="00007DF0">
        <w:tc>
          <w:tcPr>
            <w:tcW w:w="2807" w:type="dxa"/>
            <w:shd w:val="clear" w:color="auto" w:fill="D9D9D9" w:themeFill="background1" w:themeFillShade="D9"/>
          </w:tcPr>
          <w:p w14:paraId="43131160" w14:textId="77777777" w:rsidR="009F76CC" w:rsidRPr="009F76CC" w:rsidRDefault="009F76CC" w:rsidP="00323DB4">
            <w:pPr>
              <w:pStyle w:val="BodyText1"/>
              <w:spacing w:after="0"/>
              <w:jc w:val="left"/>
              <w:rPr>
                <w:rFonts w:cstheme="minorHAnsi"/>
                <w:sz w:val="20"/>
                <w:szCs w:val="20"/>
              </w:rPr>
            </w:pPr>
            <w:r w:rsidRPr="009F76CC">
              <w:rPr>
                <w:rFonts w:cstheme="minorHAnsi"/>
                <w:sz w:val="20"/>
                <w:szCs w:val="20"/>
              </w:rPr>
              <w:t>Service Credits</w:t>
            </w:r>
          </w:p>
        </w:tc>
        <w:tc>
          <w:tcPr>
            <w:tcW w:w="5701" w:type="dxa"/>
            <w:shd w:val="clear" w:color="auto" w:fill="D9D9D9" w:themeFill="background1" w:themeFillShade="D9"/>
          </w:tcPr>
          <w:p w14:paraId="4D8E55EF"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means the service credits set out in the Service Specification.</w:t>
            </w:r>
          </w:p>
        </w:tc>
      </w:tr>
      <w:tr w:rsidR="009F76CC" w:rsidRPr="0018563A" w14:paraId="22A324B0" w14:textId="77777777" w:rsidTr="00007DF0">
        <w:tc>
          <w:tcPr>
            <w:tcW w:w="2807" w:type="dxa"/>
            <w:shd w:val="clear" w:color="auto" w:fill="D9D9D9" w:themeFill="background1" w:themeFillShade="D9"/>
          </w:tcPr>
          <w:p w14:paraId="189D756D" w14:textId="77777777" w:rsidR="009F76CC" w:rsidRPr="009F76CC" w:rsidRDefault="009F76CC" w:rsidP="00323DB4">
            <w:pPr>
              <w:pStyle w:val="BodyText1"/>
              <w:spacing w:after="0"/>
              <w:jc w:val="left"/>
              <w:rPr>
                <w:rFonts w:cstheme="minorHAnsi"/>
                <w:sz w:val="20"/>
                <w:szCs w:val="20"/>
              </w:rPr>
            </w:pPr>
            <w:r w:rsidRPr="009F76CC">
              <w:rPr>
                <w:rFonts w:cstheme="minorHAnsi"/>
                <w:sz w:val="20"/>
                <w:szCs w:val="20"/>
              </w:rPr>
              <w:t>Service Levels</w:t>
            </w:r>
          </w:p>
        </w:tc>
        <w:tc>
          <w:tcPr>
            <w:tcW w:w="5701" w:type="dxa"/>
            <w:shd w:val="clear" w:color="auto" w:fill="D9D9D9" w:themeFill="background1" w:themeFillShade="D9"/>
          </w:tcPr>
          <w:p w14:paraId="6BAE8EA4"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 xml:space="preserve">means the service levels set out in the Service Specification. </w:t>
            </w:r>
          </w:p>
        </w:tc>
      </w:tr>
      <w:tr w:rsidR="009F76CC" w:rsidRPr="0018563A" w14:paraId="59DA689C" w14:textId="77777777" w:rsidTr="00007DF0">
        <w:tc>
          <w:tcPr>
            <w:tcW w:w="2807" w:type="dxa"/>
            <w:shd w:val="clear" w:color="auto" w:fill="D9D9D9" w:themeFill="background1" w:themeFillShade="D9"/>
          </w:tcPr>
          <w:p w14:paraId="67C33832" w14:textId="77777777" w:rsidR="009F76CC" w:rsidRPr="009F76CC" w:rsidRDefault="009F76CC" w:rsidP="00323DB4">
            <w:pPr>
              <w:pStyle w:val="BodyText1"/>
              <w:spacing w:after="0"/>
              <w:jc w:val="left"/>
              <w:rPr>
                <w:rFonts w:cstheme="minorHAnsi"/>
                <w:sz w:val="20"/>
                <w:szCs w:val="20"/>
              </w:rPr>
            </w:pPr>
            <w:r w:rsidRPr="009F76CC">
              <w:rPr>
                <w:rFonts w:cstheme="minorHAnsi"/>
                <w:sz w:val="20"/>
                <w:szCs w:val="20"/>
              </w:rPr>
              <w:t>Supplier or Suppliers</w:t>
            </w:r>
          </w:p>
        </w:tc>
        <w:tc>
          <w:tcPr>
            <w:tcW w:w="5701" w:type="dxa"/>
            <w:shd w:val="clear" w:color="auto" w:fill="D9D9D9" w:themeFill="background1" w:themeFillShade="D9"/>
          </w:tcPr>
          <w:p w14:paraId="474FC236" w14:textId="77777777" w:rsidR="009F76CC" w:rsidRPr="009F76CC" w:rsidRDefault="009F76CC" w:rsidP="0035109B">
            <w:pPr>
              <w:tabs>
                <w:tab w:val="left" w:pos="2751"/>
              </w:tabs>
              <w:ind w:left="57"/>
              <w:rPr>
                <w:rFonts w:asciiTheme="minorHAnsi" w:hAnsiTheme="minorHAnsi" w:cstheme="minorHAnsi"/>
              </w:rPr>
            </w:pPr>
            <w:r w:rsidRPr="009F76CC">
              <w:rPr>
                <w:rFonts w:asciiTheme="minorHAnsi" w:hAnsiTheme="minorHAnsi" w:cstheme="minorHAnsi"/>
              </w:rPr>
              <w:t>means a supplier or suppliers (as the case may be) participating in the Procurement</w:t>
            </w:r>
          </w:p>
        </w:tc>
      </w:tr>
      <w:tr w:rsidR="009F76CC" w:rsidRPr="0018563A" w14:paraId="4B7FD52E" w14:textId="77777777" w:rsidTr="00007DF0">
        <w:tc>
          <w:tcPr>
            <w:tcW w:w="2807" w:type="dxa"/>
            <w:shd w:val="clear" w:color="auto" w:fill="D9D9D9" w:themeFill="background1" w:themeFillShade="D9"/>
          </w:tcPr>
          <w:p w14:paraId="2AEBFE17" w14:textId="77777777" w:rsidR="009F76CC" w:rsidRPr="009F76CC" w:rsidRDefault="009F76CC" w:rsidP="00323DB4">
            <w:pPr>
              <w:pStyle w:val="BodyText1"/>
              <w:spacing w:after="0"/>
              <w:jc w:val="left"/>
              <w:rPr>
                <w:rFonts w:cstheme="minorHAnsi"/>
                <w:sz w:val="20"/>
                <w:szCs w:val="20"/>
              </w:rPr>
            </w:pPr>
            <w:r w:rsidRPr="009F76CC">
              <w:rPr>
                <w:rFonts w:cstheme="minorHAnsi"/>
                <w:sz w:val="20"/>
                <w:szCs w:val="20"/>
              </w:rPr>
              <w:lastRenderedPageBreak/>
              <w:t>Tender Notice</w:t>
            </w:r>
          </w:p>
        </w:tc>
        <w:tc>
          <w:tcPr>
            <w:tcW w:w="5701" w:type="dxa"/>
            <w:shd w:val="clear" w:color="auto" w:fill="D9D9D9" w:themeFill="background1" w:themeFillShade="D9"/>
          </w:tcPr>
          <w:p w14:paraId="3A7F94E4" w14:textId="5834AA04" w:rsidR="009F76CC" w:rsidRPr="009F76CC" w:rsidRDefault="009F76CC" w:rsidP="0035109B">
            <w:pPr>
              <w:pStyle w:val="BodyText1"/>
              <w:spacing w:after="0"/>
              <w:rPr>
                <w:rFonts w:cstheme="minorHAnsi"/>
                <w:sz w:val="20"/>
                <w:szCs w:val="20"/>
              </w:rPr>
            </w:pPr>
            <w:r w:rsidRPr="009F76CC">
              <w:rPr>
                <w:rFonts w:cstheme="minorHAnsi"/>
                <w:sz w:val="20"/>
                <w:szCs w:val="20"/>
              </w:rPr>
              <w:t xml:space="preserve">means the tender notice with reference </w:t>
            </w:r>
            <w:r w:rsidR="00D348AE" w:rsidRPr="00D348AE">
              <w:rPr>
                <w:rFonts w:cstheme="minorHAnsi"/>
                <w:sz w:val="20"/>
                <w:szCs w:val="20"/>
              </w:rPr>
              <w:t>2025-000007</w:t>
            </w:r>
            <w:r w:rsidRPr="009F76CC">
              <w:rPr>
                <w:rFonts w:cstheme="minorHAnsi"/>
                <w:sz w:val="20"/>
                <w:szCs w:val="20"/>
              </w:rPr>
              <w:t xml:space="preserve"> published on </w:t>
            </w:r>
            <w:r w:rsidR="00ED7B13">
              <w:rPr>
                <w:rFonts w:cstheme="minorHAnsi"/>
                <w:sz w:val="20"/>
                <w:szCs w:val="20"/>
              </w:rPr>
              <w:t>15 December 2025</w:t>
            </w:r>
            <w:r w:rsidRPr="009F76CC">
              <w:rPr>
                <w:rFonts w:cstheme="minorHAnsi"/>
                <w:sz w:val="20"/>
                <w:szCs w:val="20"/>
              </w:rPr>
              <w:t xml:space="preserve"> on the Central Digital Platform</w:t>
            </w:r>
          </w:p>
        </w:tc>
      </w:tr>
      <w:tr w:rsidR="001D038F" w:rsidRPr="0018563A" w14:paraId="6A0FFDC2" w14:textId="77777777" w:rsidTr="00007DF0">
        <w:tc>
          <w:tcPr>
            <w:tcW w:w="2807" w:type="dxa"/>
            <w:shd w:val="clear" w:color="auto" w:fill="D9D9D9" w:themeFill="background1" w:themeFillShade="D9"/>
          </w:tcPr>
          <w:p w14:paraId="1CD45644" w14:textId="66E2DAED" w:rsidR="001D038F" w:rsidRPr="009F76CC" w:rsidRDefault="001D038F" w:rsidP="00323DB4">
            <w:pPr>
              <w:pStyle w:val="BodyText1"/>
              <w:spacing w:after="0"/>
              <w:jc w:val="left"/>
              <w:rPr>
                <w:rFonts w:cstheme="minorHAnsi"/>
                <w:sz w:val="20"/>
                <w:szCs w:val="20"/>
              </w:rPr>
            </w:pPr>
            <w:r>
              <w:rPr>
                <w:rFonts w:cstheme="minorHAnsi"/>
                <w:sz w:val="20"/>
                <w:szCs w:val="20"/>
              </w:rPr>
              <w:t xml:space="preserve">Tender </w:t>
            </w:r>
          </w:p>
        </w:tc>
        <w:tc>
          <w:tcPr>
            <w:tcW w:w="5701" w:type="dxa"/>
            <w:shd w:val="clear" w:color="auto" w:fill="D9D9D9" w:themeFill="background1" w:themeFillShade="D9"/>
          </w:tcPr>
          <w:p w14:paraId="18FE2CF9" w14:textId="22EA1E5F" w:rsidR="001D038F" w:rsidRPr="009F76CC" w:rsidRDefault="001D038F" w:rsidP="0035109B">
            <w:pPr>
              <w:pStyle w:val="BodyText1"/>
              <w:spacing w:after="0"/>
              <w:rPr>
                <w:rFonts w:cstheme="minorHAnsi"/>
                <w:sz w:val="20"/>
                <w:szCs w:val="20"/>
              </w:rPr>
            </w:pPr>
            <w:r>
              <w:rPr>
                <w:rFonts w:cstheme="minorHAnsi"/>
                <w:sz w:val="20"/>
                <w:szCs w:val="20"/>
              </w:rPr>
              <w:t xml:space="preserve">means the Supplier’s response to this ITT, including the response to the PSQ. </w:t>
            </w:r>
          </w:p>
        </w:tc>
      </w:tr>
      <w:tr w:rsidR="009F76CC" w:rsidRPr="0018563A" w14:paraId="342B10CE" w14:textId="77777777" w:rsidTr="00007DF0">
        <w:tc>
          <w:tcPr>
            <w:tcW w:w="2807" w:type="dxa"/>
            <w:shd w:val="clear" w:color="auto" w:fill="D9D9D9" w:themeFill="background1" w:themeFillShade="D9"/>
          </w:tcPr>
          <w:p w14:paraId="02222433" w14:textId="77777777" w:rsidR="009F76CC" w:rsidRPr="009F76CC" w:rsidRDefault="009F76CC" w:rsidP="00323DB4">
            <w:pPr>
              <w:pStyle w:val="BodyText1"/>
              <w:spacing w:after="0"/>
              <w:jc w:val="left"/>
              <w:rPr>
                <w:rFonts w:cstheme="minorHAnsi"/>
                <w:sz w:val="20"/>
                <w:szCs w:val="20"/>
              </w:rPr>
            </w:pPr>
            <w:r w:rsidRPr="009F76CC">
              <w:rPr>
                <w:rFonts w:cstheme="minorHAnsi"/>
                <w:sz w:val="20"/>
                <w:szCs w:val="20"/>
              </w:rPr>
              <w:t>Tender Return Deadline</w:t>
            </w:r>
          </w:p>
        </w:tc>
        <w:tc>
          <w:tcPr>
            <w:tcW w:w="5701" w:type="dxa"/>
            <w:shd w:val="clear" w:color="auto" w:fill="D9D9D9" w:themeFill="background1" w:themeFillShade="D9"/>
          </w:tcPr>
          <w:p w14:paraId="72D36DE0" w14:textId="77777777" w:rsidR="009F76CC" w:rsidRPr="009F76CC" w:rsidRDefault="009F76CC" w:rsidP="0035109B">
            <w:pPr>
              <w:pStyle w:val="BodyText1"/>
              <w:spacing w:after="0"/>
              <w:rPr>
                <w:rFonts w:cstheme="minorHAnsi"/>
                <w:sz w:val="20"/>
                <w:szCs w:val="20"/>
              </w:rPr>
            </w:pPr>
            <w:r w:rsidRPr="009F76CC">
              <w:rPr>
                <w:rFonts w:cstheme="minorHAnsi"/>
                <w:sz w:val="20"/>
                <w:szCs w:val="20"/>
              </w:rPr>
              <w:t>means the deadline(s) specified as such in the Procurement Timetable</w:t>
            </w:r>
          </w:p>
        </w:tc>
      </w:tr>
      <w:tr w:rsidR="00007DF0" w:rsidRPr="0018563A" w14:paraId="51DC1C13" w14:textId="77777777" w:rsidTr="00007DF0">
        <w:tc>
          <w:tcPr>
            <w:tcW w:w="2807" w:type="dxa"/>
            <w:shd w:val="clear" w:color="auto" w:fill="D9D9D9" w:themeFill="background1" w:themeFillShade="D9"/>
          </w:tcPr>
          <w:p w14:paraId="2F6025A5" w14:textId="7BA7FBC0" w:rsidR="00007DF0" w:rsidRPr="009F76CC" w:rsidRDefault="00007DF0" w:rsidP="00323DB4">
            <w:pPr>
              <w:pStyle w:val="BodyText1"/>
              <w:spacing w:after="0"/>
              <w:jc w:val="left"/>
              <w:rPr>
                <w:rFonts w:cstheme="minorHAnsi"/>
                <w:sz w:val="20"/>
                <w:szCs w:val="20"/>
              </w:rPr>
            </w:pPr>
            <w:r>
              <w:rPr>
                <w:rFonts w:cstheme="minorHAnsi"/>
                <w:sz w:val="20"/>
                <w:szCs w:val="20"/>
              </w:rPr>
              <w:t>The Trust</w:t>
            </w:r>
          </w:p>
        </w:tc>
        <w:tc>
          <w:tcPr>
            <w:tcW w:w="5701" w:type="dxa"/>
            <w:shd w:val="clear" w:color="auto" w:fill="D9D9D9" w:themeFill="background1" w:themeFillShade="D9"/>
          </w:tcPr>
          <w:p w14:paraId="1690F38D" w14:textId="3AE61988" w:rsidR="00007DF0" w:rsidRPr="009F76CC" w:rsidRDefault="000969FD" w:rsidP="0035109B">
            <w:pPr>
              <w:pStyle w:val="BodyText1"/>
              <w:spacing w:after="0"/>
              <w:rPr>
                <w:rFonts w:cstheme="minorHAnsi"/>
                <w:sz w:val="20"/>
                <w:szCs w:val="20"/>
              </w:rPr>
            </w:pPr>
            <w:r>
              <w:rPr>
                <w:rFonts w:cstheme="minorHAnsi"/>
                <w:sz w:val="20"/>
                <w:szCs w:val="20"/>
              </w:rPr>
              <w:t>m</w:t>
            </w:r>
            <w:r w:rsidR="00007DF0">
              <w:rPr>
                <w:rFonts w:cstheme="minorHAnsi"/>
                <w:sz w:val="20"/>
                <w:szCs w:val="20"/>
              </w:rPr>
              <w:t>eans the Armed Forces Covenant Fund Trustee Limited acting as trustee of the Armed Forces Covenant Fund</w:t>
            </w:r>
          </w:p>
        </w:tc>
      </w:tr>
      <w:tr w:rsidR="009F76CC" w:rsidRPr="0018563A" w14:paraId="6C29E72C" w14:textId="77777777" w:rsidTr="00007DF0">
        <w:tc>
          <w:tcPr>
            <w:tcW w:w="2807" w:type="dxa"/>
            <w:shd w:val="clear" w:color="auto" w:fill="D9D9D9" w:themeFill="background1" w:themeFillShade="D9"/>
          </w:tcPr>
          <w:p w14:paraId="733084ED" w14:textId="6AEB25E4" w:rsidR="009F76CC" w:rsidRPr="009F76CC" w:rsidRDefault="009F76CC" w:rsidP="00323DB4">
            <w:pPr>
              <w:pStyle w:val="BodyText1"/>
              <w:spacing w:after="0"/>
              <w:jc w:val="left"/>
              <w:rPr>
                <w:rFonts w:cstheme="minorHAnsi"/>
                <w:sz w:val="20"/>
                <w:szCs w:val="20"/>
              </w:rPr>
            </w:pPr>
            <w:r w:rsidRPr="009F76CC">
              <w:rPr>
                <w:rFonts w:cstheme="minorHAnsi"/>
                <w:sz w:val="20"/>
                <w:szCs w:val="20"/>
              </w:rPr>
              <w:t xml:space="preserve">Unique </w:t>
            </w:r>
            <w:r w:rsidR="00EC75DA">
              <w:rPr>
                <w:rFonts w:cstheme="minorHAnsi"/>
                <w:sz w:val="20"/>
                <w:szCs w:val="20"/>
              </w:rPr>
              <w:t>I</w:t>
            </w:r>
            <w:r w:rsidRPr="009F76CC">
              <w:rPr>
                <w:rFonts w:cstheme="minorHAnsi"/>
                <w:sz w:val="20"/>
                <w:szCs w:val="20"/>
              </w:rPr>
              <w:t>dentifier</w:t>
            </w:r>
          </w:p>
        </w:tc>
        <w:tc>
          <w:tcPr>
            <w:tcW w:w="5701" w:type="dxa"/>
            <w:shd w:val="clear" w:color="auto" w:fill="D9D9D9" w:themeFill="background1" w:themeFillShade="D9"/>
          </w:tcPr>
          <w:p w14:paraId="27686CFD" w14:textId="77777777" w:rsidR="009F76CC" w:rsidRPr="009F76CC" w:rsidRDefault="009F76CC" w:rsidP="0035109B">
            <w:pPr>
              <w:pStyle w:val="BodyText1"/>
              <w:spacing w:after="0"/>
              <w:rPr>
                <w:rFonts w:cstheme="minorHAnsi"/>
                <w:sz w:val="20"/>
                <w:szCs w:val="20"/>
              </w:rPr>
            </w:pPr>
            <w:r w:rsidRPr="009F76CC">
              <w:rPr>
                <w:rFonts w:cstheme="minorHAnsi"/>
                <w:sz w:val="20"/>
                <w:szCs w:val="20"/>
              </w:rPr>
              <w:t>as defined in regulation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tc>
      </w:tr>
    </w:tbl>
    <w:p w14:paraId="1E9664D8" w14:textId="77777777" w:rsidR="009F76CC" w:rsidRPr="00170C6F" w:rsidRDefault="009F76CC" w:rsidP="009F76CC">
      <w:pPr>
        <w:pStyle w:val="BodyText1"/>
      </w:pPr>
    </w:p>
    <w:p w14:paraId="654DD17B" w14:textId="756A35BF" w:rsidR="00911A7D" w:rsidRDefault="00911A7D">
      <w:pPr>
        <w:adjustRightInd/>
        <w:spacing w:after="160" w:line="259" w:lineRule="auto"/>
        <w:rPr>
          <w:rFonts w:eastAsia="Arial" w:cs="Arial"/>
        </w:rPr>
      </w:pPr>
      <w:r>
        <w:br w:type="page"/>
      </w:r>
    </w:p>
    <w:p w14:paraId="4789BED5" w14:textId="526BE3CC" w:rsidR="00911A7D" w:rsidRPr="00E5488A" w:rsidRDefault="00911A7D" w:rsidP="00911A7D">
      <w:pPr>
        <w:pStyle w:val="Level1Heading"/>
        <w:numPr>
          <w:ilvl w:val="0"/>
          <w:numId w:val="0"/>
        </w:numPr>
        <w:jc w:val="center"/>
      </w:pPr>
      <w:bookmarkStart w:id="30" w:name="_Toc197441914"/>
      <w:r>
        <w:lastRenderedPageBreak/>
        <w:t>APPENDIX E</w:t>
      </w:r>
      <w:r w:rsidRPr="00E5488A">
        <w:t xml:space="preserve"> </w:t>
      </w:r>
      <w:r>
        <w:t>–</w:t>
      </w:r>
      <w:r w:rsidRPr="00E5488A">
        <w:t xml:space="preserve"> </w:t>
      </w:r>
      <w:r>
        <w:t>FORM OF TENDER</w:t>
      </w:r>
      <w:bookmarkEnd w:id="30"/>
    </w:p>
    <w:p w14:paraId="1A261C85" w14:textId="77777777" w:rsidR="009F76CC" w:rsidRDefault="009F76CC" w:rsidP="00911A7D">
      <w:pPr>
        <w:pStyle w:val="Level2"/>
        <w:numPr>
          <w:ilvl w:val="0"/>
          <w:numId w:val="0"/>
        </w:numPr>
        <w:ind w:left="720" w:hanging="720"/>
        <w:rPr>
          <w:b/>
        </w:rPr>
      </w:pPr>
    </w:p>
    <w:p w14:paraId="6FFD6EA4" w14:textId="77777777" w:rsidR="009F76CC" w:rsidRPr="009F76CC" w:rsidRDefault="009F76CC" w:rsidP="009F76CC">
      <w:pPr>
        <w:pStyle w:val="BodyText1"/>
        <w:rPr>
          <w:sz w:val="20"/>
          <w:szCs w:val="20"/>
        </w:rPr>
      </w:pPr>
      <w:r w:rsidRPr="009F76CC">
        <w:rPr>
          <w:sz w:val="20"/>
          <w:szCs w:val="20"/>
        </w:rPr>
        <w:t>Dear Sir or Madam</w:t>
      </w:r>
    </w:p>
    <w:p w14:paraId="688A8C07" w14:textId="77777777" w:rsidR="009F76CC" w:rsidRPr="009F76CC" w:rsidRDefault="009F76CC" w:rsidP="001B3144">
      <w:pPr>
        <w:pStyle w:val="Heading2-NotToC"/>
        <w:outlineLvl w:val="9"/>
        <w:rPr>
          <w:sz w:val="20"/>
          <w:szCs w:val="20"/>
        </w:rPr>
      </w:pPr>
      <w:r w:rsidRPr="009F76CC">
        <w:rPr>
          <w:sz w:val="20"/>
          <w:szCs w:val="20"/>
        </w:rPr>
        <w:t xml:space="preserve">Form of tender </w:t>
      </w:r>
    </w:p>
    <w:p w14:paraId="262ACB86" w14:textId="77777777" w:rsidR="009F76CC" w:rsidRPr="009F76CC" w:rsidRDefault="009F76CC" w:rsidP="009F76CC">
      <w:pPr>
        <w:pStyle w:val="BodyText1"/>
        <w:jc w:val="both"/>
        <w:rPr>
          <w:sz w:val="20"/>
          <w:szCs w:val="20"/>
        </w:rPr>
      </w:pPr>
      <w:r w:rsidRPr="009F76CC">
        <w:rPr>
          <w:sz w:val="20"/>
          <w:szCs w:val="20"/>
        </w:rPr>
        <w:t>I/We, the undersigned, tender and offer to provide the Contract as listed below, which is more particularly referred to in the ITT supplied to me/us for the purpose of tendering for the provision of the Contract and on the terms of the draft Contract.</w:t>
      </w:r>
    </w:p>
    <w:p w14:paraId="52CEAB7F" w14:textId="77777777" w:rsidR="009F76CC" w:rsidRPr="009F76CC" w:rsidRDefault="009F76CC" w:rsidP="009F76CC">
      <w:pPr>
        <w:pStyle w:val="BodyText1"/>
        <w:rPr>
          <w:sz w:val="20"/>
          <w:szCs w:val="20"/>
        </w:rPr>
      </w:pPr>
      <w:r w:rsidRPr="009F76CC">
        <w:rPr>
          <w:sz w:val="20"/>
          <w:szCs w:val="20"/>
        </w:rPr>
        <w:t>Included within this document are the following:</w:t>
      </w:r>
    </w:p>
    <w:p w14:paraId="5D95FC7B" w14:textId="77777777" w:rsidR="009F76CC" w:rsidRPr="009F76CC" w:rsidRDefault="009F76CC" w:rsidP="001B3144">
      <w:pPr>
        <w:pStyle w:val="Heading2-NotToC"/>
        <w:outlineLvl w:val="9"/>
        <w:rPr>
          <w:sz w:val="20"/>
          <w:szCs w:val="20"/>
        </w:rPr>
      </w:pPr>
      <w:r w:rsidRPr="009F76CC">
        <w:rPr>
          <w:sz w:val="20"/>
          <w:szCs w:val="20"/>
        </w:rPr>
        <w:t>Checklist for Suppliers</w:t>
      </w:r>
    </w:p>
    <w:p w14:paraId="5E03D040" w14:textId="77777777" w:rsidR="009F76CC" w:rsidRPr="009F76CC" w:rsidRDefault="009F76CC" w:rsidP="009F76CC">
      <w:pPr>
        <w:pStyle w:val="BodyText1"/>
        <w:rPr>
          <w:sz w:val="20"/>
          <w:szCs w:val="20"/>
        </w:rPr>
      </w:pPr>
      <w:r w:rsidRPr="009F76CC">
        <w:rPr>
          <w:sz w:val="20"/>
          <w:szCs w:val="20"/>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539"/>
        <w:gridCol w:w="5527"/>
        <w:gridCol w:w="242"/>
        <w:gridCol w:w="1200"/>
      </w:tblGrid>
      <w:tr w:rsidR="009F76CC" w:rsidRPr="009F76CC" w14:paraId="55E6C610" w14:textId="77777777" w:rsidTr="0035109B">
        <w:trPr>
          <w:tblHeader/>
        </w:trPr>
        <w:tc>
          <w:tcPr>
            <w:tcW w:w="1651" w:type="dxa"/>
            <w:shd w:val="clear" w:color="auto" w:fill="BEDDFF"/>
            <w:vAlign w:val="bottom"/>
          </w:tcPr>
          <w:p w14:paraId="535911B9" w14:textId="77777777" w:rsidR="009F76CC" w:rsidRPr="009F76CC" w:rsidRDefault="009F76CC" w:rsidP="0035109B">
            <w:pPr>
              <w:pStyle w:val="BodyText1"/>
              <w:spacing w:after="0"/>
              <w:rPr>
                <w:b/>
                <w:bCs/>
                <w:sz w:val="20"/>
                <w:szCs w:val="20"/>
              </w:rPr>
            </w:pPr>
            <w:r w:rsidRPr="009F76CC">
              <w:rPr>
                <w:b/>
                <w:bCs/>
                <w:sz w:val="20"/>
                <w:szCs w:val="20"/>
              </w:rPr>
              <w:t>Document number</w:t>
            </w:r>
          </w:p>
        </w:tc>
        <w:tc>
          <w:tcPr>
            <w:tcW w:w="6713" w:type="dxa"/>
            <w:gridSpan w:val="2"/>
            <w:shd w:val="clear" w:color="auto" w:fill="BEDDFF"/>
            <w:vAlign w:val="bottom"/>
          </w:tcPr>
          <w:p w14:paraId="1B09C452" w14:textId="77777777" w:rsidR="009F76CC" w:rsidRPr="009F76CC" w:rsidRDefault="009F76CC" w:rsidP="0035109B">
            <w:pPr>
              <w:pStyle w:val="BodyText1"/>
              <w:spacing w:after="0"/>
              <w:rPr>
                <w:b/>
                <w:bCs/>
                <w:sz w:val="20"/>
                <w:szCs w:val="20"/>
              </w:rPr>
            </w:pPr>
            <w:r w:rsidRPr="009F76CC">
              <w:rPr>
                <w:b/>
                <w:bCs/>
                <w:sz w:val="20"/>
                <w:szCs w:val="20"/>
              </w:rPr>
              <w:t>Document name</w:t>
            </w:r>
          </w:p>
        </w:tc>
        <w:tc>
          <w:tcPr>
            <w:tcW w:w="1274" w:type="dxa"/>
            <w:shd w:val="clear" w:color="auto" w:fill="BEDDFF"/>
            <w:vAlign w:val="bottom"/>
          </w:tcPr>
          <w:p w14:paraId="60BD36A8" w14:textId="77777777" w:rsidR="009F76CC" w:rsidRPr="009F76CC" w:rsidRDefault="009F76CC" w:rsidP="0035109B">
            <w:pPr>
              <w:pStyle w:val="BodyText1"/>
              <w:spacing w:after="0"/>
              <w:rPr>
                <w:b/>
                <w:bCs/>
                <w:sz w:val="20"/>
                <w:szCs w:val="20"/>
              </w:rPr>
            </w:pPr>
            <w:r w:rsidRPr="009F76CC">
              <w:rPr>
                <w:b/>
                <w:bCs/>
                <w:sz w:val="20"/>
                <w:szCs w:val="20"/>
              </w:rPr>
              <w:t>Included (Y/N)</w:t>
            </w:r>
          </w:p>
        </w:tc>
      </w:tr>
      <w:tr w:rsidR="009F76CC" w:rsidRPr="009F76CC" w14:paraId="79AB5238" w14:textId="77777777" w:rsidTr="0035109B">
        <w:tc>
          <w:tcPr>
            <w:tcW w:w="1651" w:type="dxa"/>
          </w:tcPr>
          <w:p w14:paraId="11493765" w14:textId="77777777" w:rsidR="009F76CC" w:rsidRPr="009F76CC" w:rsidRDefault="009F76CC" w:rsidP="0035109B">
            <w:pPr>
              <w:pStyle w:val="BodyText1"/>
              <w:spacing w:after="0"/>
              <w:rPr>
                <w:sz w:val="20"/>
                <w:szCs w:val="20"/>
              </w:rPr>
            </w:pPr>
          </w:p>
        </w:tc>
        <w:tc>
          <w:tcPr>
            <w:tcW w:w="6429" w:type="dxa"/>
          </w:tcPr>
          <w:p w14:paraId="40DEE087" w14:textId="77777777" w:rsidR="009F76CC" w:rsidRPr="009F76CC" w:rsidRDefault="009F76CC" w:rsidP="0035109B">
            <w:pPr>
              <w:pStyle w:val="BodyText1"/>
              <w:spacing w:after="0"/>
              <w:rPr>
                <w:sz w:val="20"/>
                <w:szCs w:val="20"/>
              </w:rPr>
            </w:pPr>
          </w:p>
        </w:tc>
        <w:tc>
          <w:tcPr>
            <w:tcW w:w="1558" w:type="dxa"/>
            <w:gridSpan w:val="2"/>
          </w:tcPr>
          <w:p w14:paraId="415875C8" w14:textId="77777777" w:rsidR="009F76CC" w:rsidRPr="009F76CC" w:rsidRDefault="009F76CC" w:rsidP="0035109B">
            <w:pPr>
              <w:pStyle w:val="BodyText1"/>
              <w:spacing w:after="0"/>
              <w:rPr>
                <w:sz w:val="20"/>
                <w:szCs w:val="20"/>
              </w:rPr>
            </w:pPr>
          </w:p>
        </w:tc>
      </w:tr>
      <w:tr w:rsidR="009F76CC" w:rsidRPr="009F76CC" w14:paraId="78C3AEFF" w14:textId="77777777" w:rsidTr="0035109B">
        <w:tc>
          <w:tcPr>
            <w:tcW w:w="1651" w:type="dxa"/>
          </w:tcPr>
          <w:p w14:paraId="3C7E2302" w14:textId="77777777" w:rsidR="009F76CC" w:rsidRPr="009F76CC" w:rsidRDefault="009F76CC" w:rsidP="0035109B">
            <w:pPr>
              <w:pStyle w:val="BodyText1"/>
              <w:spacing w:after="0"/>
              <w:rPr>
                <w:sz w:val="20"/>
                <w:szCs w:val="20"/>
              </w:rPr>
            </w:pPr>
          </w:p>
        </w:tc>
        <w:tc>
          <w:tcPr>
            <w:tcW w:w="6429" w:type="dxa"/>
          </w:tcPr>
          <w:p w14:paraId="4E11D686" w14:textId="77777777" w:rsidR="009F76CC" w:rsidRPr="009F76CC" w:rsidRDefault="009F76CC" w:rsidP="0035109B">
            <w:pPr>
              <w:pStyle w:val="BodyText1"/>
              <w:spacing w:after="0"/>
              <w:rPr>
                <w:sz w:val="20"/>
                <w:szCs w:val="20"/>
              </w:rPr>
            </w:pPr>
          </w:p>
        </w:tc>
        <w:tc>
          <w:tcPr>
            <w:tcW w:w="1558" w:type="dxa"/>
            <w:gridSpan w:val="2"/>
          </w:tcPr>
          <w:p w14:paraId="1D5FA182" w14:textId="77777777" w:rsidR="009F76CC" w:rsidRPr="009F76CC" w:rsidRDefault="009F76CC" w:rsidP="0035109B">
            <w:pPr>
              <w:pStyle w:val="BodyText1"/>
              <w:spacing w:after="0"/>
              <w:rPr>
                <w:sz w:val="20"/>
                <w:szCs w:val="20"/>
              </w:rPr>
            </w:pPr>
          </w:p>
        </w:tc>
      </w:tr>
      <w:tr w:rsidR="009F76CC" w:rsidRPr="009F76CC" w14:paraId="22DAC0AC" w14:textId="77777777" w:rsidTr="0035109B">
        <w:tc>
          <w:tcPr>
            <w:tcW w:w="1651" w:type="dxa"/>
          </w:tcPr>
          <w:p w14:paraId="061D6460" w14:textId="77777777" w:rsidR="009F76CC" w:rsidRPr="009F76CC" w:rsidRDefault="009F76CC" w:rsidP="0035109B">
            <w:pPr>
              <w:pStyle w:val="BodyText1"/>
              <w:spacing w:after="0"/>
              <w:rPr>
                <w:sz w:val="20"/>
                <w:szCs w:val="20"/>
              </w:rPr>
            </w:pPr>
          </w:p>
        </w:tc>
        <w:tc>
          <w:tcPr>
            <w:tcW w:w="6429" w:type="dxa"/>
          </w:tcPr>
          <w:p w14:paraId="30A0748B" w14:textId="77777777" w:rsidR="009F76CC" w:rsidRPr="009F76CC" w:rsidRDefault="009F76CC" w:rsidP="0035109B">
            <w:pPr>
              <w:tabs>
                <w:tab w:val="left" w:pos="2751"/>
              </w:tabs>
              <w:ind w:left="57"/>
            </w:pPr>
          </w:p>
        </w:tc>
        <w:tc>
          <w:tcPr>
            <w:tcW w:w="1558" w:type="dxa"/>
            <w:gridSpan w:val="2"/>
          </w:tcPr>
          <w:p w14:paraId="16A3BEC8" w14:textId="77777777" w:rsidR="009F76CC" w:rsidRPr="009F76CC" w:rsidRDefault="009F76CC" w:rsidP="0035109B">
            <w:pPr>
              <w:tabs>
                <w:tab w:val="left" w:pos="2751"/>
              </w:tabs>
              <w:ind w:left="57"/>
            </w:pPr>
          </w:p>
        </w:tc>
      </w:tr>
      <w:tr w:rsidR="009F76CC" w:rsidRPr="009F76CC" w14:paraId="1DAEA00B" w14:textId="77777777" w:rsidTr="0035109B">
        <w:tc>
          <w:tcPr>
            <w:tcW w:w="1651" w:type="dxa"/>
          </w:tcPr>
          <w:p w14:paraId="3D1E3AEF" w14:textId="77777777" w:rsidR="009F76CC" w:rsidRPr="009F76CC" w:rsidRDefault="009F76CC" w:rsidP="0035109B">
            <w:pPr>
              <w:pStyle w:val="BodyText1"/>
              <w:spacing w:after="0"/>
              <w:rPr>
                <w:sz w:val="20"/>
                <w:szCs w:val="20"/>
              </w:rPr>
            </w:pPr>
          </w:p>
        </w:tc>
        <w:tc>
          <w:tcPr>
            <w:tcW w:w="6429" w:type="dxa"/>
          </w:tcPr>
          <w:p w14:paraId="4BC7C25B" w14:textId="77777777" w:rsidR="009F76CC" w:rsidRPr="009F76CC" w:rsidRDefault="009F76CC" w:rsidP="0035109B">
            <w:pPr>
              <w:tabs>
                <w:tab w:val="left" w:pos="2751"/>
              </w:tabs>
              <w:ind w:left="57"/>
            </w:pPr>
          </w:p>
        </w:tc>
        <w:tc>
          <w:tcPr>
            <w:tcW w:w="1558" w:type="dxa"/>
            <w:gridSpan w:val="2"/>
          </w:tcPr>
          <w:p w14:paraId="49780D9A" w14:textId="77777777" w:rsidR="009F76CC" w:rsidRPr="009F76CC" w:rsidRDefault="009F76CC" w:rsidP="0035109B">
            <w:pPr>
              <w:tabs>
                <w:tab w:val="left" w:pos="2751"/>
              </w:tabs>
              <w:ind w:left="57"/>
            </w:pPr>
          </w:p>
        </w:tc>
      </w:tr>
      <w:tr w:rsidR="009F76CC" w:rsidRPr="009F76CC" w14:paraId="6219A096" w14:textId="77777777" w:rsidTr="0035109B">
        <w:tc>
          <w:tcPr>
            <w:tcW w:w="1651" w:type="dxa"/>
          </w:tcPr>
          <w:p w14:paraId="4F3E8A55" w14:textId="77777777" w:rsidR="009F76CC" w:rsidRPr="009F76CC" w:rsidRDefault="009F76CC" w:rsidP="0035109B">
            <w:pPr>
              <w:pStyle w:val="BodyText1"/>
              <w:spacing w:after="0"/>
              <w:rPr>
                <w:sz w:val="20"/>
                <w:szCs w:val="20"/>
              </w:rPr>
            </w:pPr>
          </w:p>
        </w:tc>
        <w:tc>
          <w:tcPr>
            <w:tcW w:w="6429" w:type="dxa"/>
          </w:tcPr>
          <w:p w14:paraId="2D4DAB88" w14:textId="77777777" w:rsidR="009F76CC" w:rsidRPr="009F76CC" w:rsidRDefault="009F76CC" w:rsidP="0035109B">
            <w:pPr>
              <w:tabs>
                <w:tab w:val="left" w:pos="2751"/>
              </w:tabs>
              <w:ind w:left="57"/>
            </w:pPr>
          </w:p>
        </w:tc>
        <w:tc>
          <w:tcPr>
            <w:tcW w:w="1558" w:type="dxa"/>
            <w:gridSpan w:val="2"/>
          </w:tcPr>
          <w:p w14:paraId="17BA5348" w14:textId="77777777" w:rsidR="009F76CC" w:rsidRPr="009F76CC" w:rsidRDefault="009F76CC" w:rsidP="0035109B">
            <w:pPr>
              <w:tabs>
                <w:tab w:val="left" w:pos="2751"/>
              </w:tabs>
              <w:ind w:left="57"/>
            </w:pPr>
          </w:p>
        </w:tc>
      </w:tr>
    </w:tbl>
    <w:p w14:paraId="069CC6F8" w14:textId="77777777" w:rsidR="00911A7D" w:rsidRDefault="00911A7D" w:rsidP="002C0D70">
      <w:pPr>
        <w:pStyle w:val="Level2"/>
        <w:numPr>
          <w:ilvl w:val="0"/>
          <w:numId w:val="0"/>
        </w:numPr>
        <w:ind w:left="720" w:hanging="720"/>
      </w:pPr>
    </w:p>
    <w:p w14:paraId="150FF612" w14:textId="77777777" w:rsidR="009F76CC" w:rsidRPr="009F76CC" w:rsidRDefault="009F76CC" w:rsidP="009F76CC">
      <w:pPr>
        <w:pStyle w:val="BodyText1"/>
        <w:rPr>
          <w:sz w:val="20"/>
          <w:szCs w:val="20"/>
        </w:rPr>
      </w:pPr>
      <w:r w:rsidRPr="009F76CC">
        <w:rPr>
          <w:b/>
          <w:bCs/>
          <w:sz w:val="20"/>
          <w:szCs w:val="20"/>
        </w:rPr>
        <w:t>Note:</w:t>
      </w:r>
      <w:r w:rsidRPr="009F76CC">
        <w:rPr>
          <w:sz w:val="20"/>
          <w:szCs w:val="20"/>
        </w:rPr>
        <w:t xml:space="preserve"> If Suppliers do not provide all of the items in the checklist, this may result in the response being treated as non-compliant and therefore rejected.</w:t>
      </w:r>
    </w:p>
    <w:p w14:paraId="205FCBF6" w14:textId="77777777" w:rsidR="009F76CC" w:rsidRPr="009F76CC" w:rsidRDefault="009F76CC" w:rsidP="009F76CC">
      <w:pPr>
        <w:pStyle w:val="BodyText1"/>
        <w:jc w:val="both"/>
        <w:rPr>
          <w:sz w:val="20"/>
          <w:szCs w:val="20"/>
          <w:highlight w:val="yellow"/>
        </w:rPr>
      </w:pPr>
      <w:r w:rsidRPr="009F76CC">
        <w:rPr>
          <w:sz w:val="20"/>
          <w:szCs w:val="20"/>
          <w:highlight w:val="yellow"/>
        </w:rPr>
        <w:t>I/We confirm that I/we can supply the contract as specified in our response to the ITT and in accordance with the financial model response submitted.</w:t>
      </w:r>
    </w:p>
    <w:p w14:paraId="1620516B" w14:textId="77777777" w:rsidR="009F76CC" w:rsidRPr="009F76CC" w:rsidRDefault="009F76CC" w:rsidP="009F76CC">
      <w:pPr>
        <w:pStyle w:val="BodyText1"/>
        <w:jc w:val="both"/>
        <w:rPr>
          <w:sz w:val="20"/>
          <w:szCs w:val="20"/>
          <w:highlight w:val="yellow"/>
        </w:rPr>
      </w:pPr>
      <w:r w:rsidRPr="009F76CC">
        <w:rPr>
          <w:sz w:val="20"/>
          <w:szCs w:val="20"/>
          <w:highlight w:val="yellow"/>
        </w:rPr>
        <w:t>I/We confirm that we accept the terms of the draft Contract as issued with the ITT.</w:t>
      </w:r>
    </w:p>
    <w:p w14:paraId="70E0406C" w14:textId="77777777" w:rsidR="009F76CC" w:rsidRPr="009F76CC" w:rsidRDefault="009F76CC" w:rsidP="009F76CC">
      <w:pPr>
        <w:pStyle w:val="BodyText1"/>
        <w:jc w:val="both"/>
        <w:rPr>
          <w:sz w:val="20"/>
          <w:szCs w:val="20"/>
          <w:highlight w:val="yellow"/>
        </w:rPr>
      </w:pPr>
      <w:r w:rsidRPr="009F76CC">
        <w:rPr>
          <w:sz w:val="20"/>
          <w:szCs w:val="20"/>
          <w:highlight w:val="yellow"/>
        </w:rPr>
        <w:t>I/We confirm that prices submitted as part the Tender response are tendered without any caveats or qualifications.</w:t>
      </w:r>
    </w:p>
    <w:p w14:paraId="6614652B" w14:textId="5C9C63FB" w:rsidR="009F76CC" w:rsidRPr="009F76CC" w:rsidRDefault="009F76CC" w:rsidP="009F76CC">
      <w:pPr>
        <w:pStyle w:val="BodyText1"/>
        <w:jc w:val="both"/>
        <w:rPr>
          <w:sz w:val="20"/>
          <w:szCs w:val="20"/>
        </w:rPr>
      </w:pPr>
      <w:r w:rsidRPr="009F76CC">
        <w:rPr>
          <w:sz w:val="20"/>
          <w:szCs w:val="20"/>
          <w:highlight w:val="yellow"/>
        </w:rPr>
        <w:t xml:space="preserve">I/We understand that the </w:t>
      </w:r>
      <w:r w:rsidR="00007DF0">
        <w:rPr>
          <w:sz w:val="20"/>
          <w:szCs w:val="20"/>
          <w:highlight w:val="yellow"/>
        </w:rPr>
        <w:t>Trust</w:t>
      </w:r>
      <w:r w:rsidRPr="009F76CC">
        <w:rPr>
          <w:sz w:val="20"/>
          <w:szCs w:val="20"/>
          <w:highlight w:val="yellow"/>
        </w:rPr>
        <w:t xml:space="preserve"> reserves the right to accept or refuse the Tender response in accordance with the Procurement Act 2023 and/or the ITT.</w:t>
      </w:r>
    </w:p>
    <w:p w14:paraId="377A1F3A" w14:textId="56D85582" w:rsidR="009F76CC" w:rsidRPr="009F76CC" w:rsidRDefault="009F76CC" w:rsidP="009F76CC">
      <w:pPr>
        <w:pStyle w:val="BodyText1"/>
        <w:jc w:val="both"/>
        <w:rPr>
          <w:sz w:val="20"/>
          <w:szCs w:val="20"/>
        </w:rPr>
      </w:pPr>
      <w:r w:rsidRPr="009F76CC">
        <w:rPr>
          <w:sz w:val="20"/>
          <w:szCs w:val="20"/>
        </w:rPr>
        <w:t xml:space="preserve">I/We confirm that all information supplied to the </w:t>
      </w:r>
      <w:r w:rsidR="00007DF0">
        <w:rPr>
          <w:sz w:val="20"/>
          <w:szCs w:val="20"/>
        </w:rPr>
        <w:t>Trust</w:t>
      </w:r>
      <w:r w:rsidRPr="009F76CC">
        <w:rPr>
          <w:sz w:val="20"/>
          <w:szCs w:val="20"/>
        </w:rPr>
        <w:t xml:space="preserve"> and forming part of the Tender response is true and accurate.</w:t>
      </w:r>
    </w:p>
    <w:p w14:paraId="630CD088" w14:textId="77777777" w:rsidR="009F76CC" w:rsidRPr="009F76CC" w:rsidRDefault="009F76CC" w:rsidP="009F76CC">
      <w:pPr>
        <w:pStyle w:val="BodyText1"/>
        <w:keepNext/>
        <w:keepLines/>
        <w:jc w:val="both"/>
        <w:rPr>
          <w:sz w:val="20"/>
          <w:szCs w:val="20"/>
        </w:rPr>
      </w:pPr>
      <w:r w:rsidRPr="009F76CC">
        <w:rPr>
          <w:sz w:val="20"/>
          <w:szCs w:val="20"/>
        </w:rPr>
        <w:t>I/We confirm that the Supplier, together with all Associated Suppliers:</w:t>
      </w:r>
    </w:p>
    <w:p w14:paraId="7DA8D0C9" w14:textId="77777777" w:rsidR="009F76CC" w:rsidRPr="009F76CC" w:rsidRDefault="009F76CC" w:rsidP="009F76CC">
      <w:pPr>
        <w:pStyle w:val="BodyText1"/>
        <w:ind w:left="680" w:hanging="340"/>
        <w:jc w:val="both"/>
        <w:rPr>
          <w:sz w:val="20"/>
          <w:szCs w:val="20"/>
        </w:rPr>
      </w:pPr>
      <w:r w:rsidRPr="009F76CC">
        <w:rPr>
          <w:sz w:val="20"/>
          <w:szCs w:val="20"/>
        </w:rPr>
        <w:t>•</w:t>
      </w:r>
      <w:r w:rsidRPr="009F76CC">
        <w:rPr>
          <w:sz w:val="20"/>
          <w:szCs w:val="20"/>
        </w:rPr>
        <w:tab/>
        <w:t>are registered on the Central Digital Platform</w:t>
      </w:r>
    </w:p>
    <w:p w14:paraId="505EB7FD" w14:textId="77777777" w:rsidR="009F76CC" w:rsidRPr="009F76CC" w:rsidRDefault="009F76CC" w:rsidP="009F76CC">
      <w:pPr>
        <w:pStyle w:val="BodyText1"/>
        <w:ind w:left="680" w:hanging="340"/>
        <w:jc w:val="both"/>
        <w:rPr>
          <w:sz w:val="20"/>
          <w:szCs w:val="20"/>
        </w:rPr>
      </w:pPr>
      <w:r w:rsidRPr="009F76CC">
        <w:rPr>
          <w:sz w:val="20"/>
          <w:szCs w:val="20"/>
        </w:rPr>
        <w:t>•</w:t>
      </w:r>
      <w:r w:rsidRPr="009F76CC">
        <w:rPr>
          <w:sz w:val="20"/>
          <w:szCs w:val="20"/>
        </w:rPr>
        <w:tab/>
        <w:t xml:space="preserve">have ensured their information contained on the Central Digital Platform is true and accurate </w:t>
      </w:r>
    </w:p>
    <w:p w14:paraId="5CC5403F" w14:textId="3FC1735A" w:rsidR="009F76CC" w:rsidRPr="008B3536" w:rsidRDefault="009F76CC" w:rsidP="009F76CC">
      <w:pPr>
        <w:pStyle w:val="BodyText1"/>
        <w:jc w:val="both"/>
        <w:rPr>
          <w:sz w:val="20"/>
          <w:szCs w:val="20"/>
        </w:rPr>
      </w:pPr>
      <w:r w:rsidRPr="009F76CC">
        <w:rPr>
          <w:sz w:val="20"/>
          <w:szCs w:val="20"/>
        </w:rPr>
        <w:t xml:space="preserve">I/We confirm and undertake that if any of such information becomes untrue or misleading that I/we shall notify the </w:t>
      </w:r>
      <w:r w:rsidR="00007DF0">
        <w:rPr>
          <w:sz w:val="20"/>
          <w:szCs w:val="20"/>
        </w:rPr>
        <w:t>Trust</w:t>
      </w:r>
      <w:r w:rsidRPr="009F76CC">
        <w:rPr>
          <w:sz w:val="20"/>
          <w:szCs w:val="20"/>
        </w:rPr>
        <w:t xml:space="preserve"> immediately and update </w:t>
      </w:r>
      <w:r w:rsidRPr="008B3536">
        <w:rPr>
          <w:sz w:val="20"/>
          <w:szCs w:val="20"/>
        </w:rPr>
        <w:t xml:space="preserve">such information should this be required. </w:t>
      </w:r>
    </w:p>
    <w:p w14:paraId="163E9AD7" w14:textId="45CC0EF4" w:rsidR="009F76CC" w:rsidRPr="009F76CC" w:rsidRDefault="009F76CC" w:rsidP="009F76CC">
      <w:pPr>
        <w:pStyle w:val="BodyText1"/>
        <w:jc w:val="both"/>
        <w:rPr>
          <w:sz w:val="20"/>
          <w:szCs w:val="20"/>
        </w:rPr>
      </w:pPr>
      <w:r w:rsidRPr="008B3536">
        <w:rPr>
          <w:sz w:val="20"/>
          <w:szCs w:val="20"/>
        </w:rPr>
        <w:lastRenderedPageBreak/>
        <w:t xml:space="preserve">I/We confirm that the Tender response will remain valid for </w:t>
      </w:r>
      <w:r w:rsidRPr="00F145E2">
        <w:rPr>
          <w:sz w:val="20"/>
          <w:szCs w:val="20"/>
        </w:rPr>
        <w:t>90 days</w:t>
      </w:r>
      <w:r w:rsidRPr="008B3536">
        <w:rPr>
          <w:sz w:val="20"/>
          <w:szCs w:val="20"/>
        </w:rPr>
        <w:t xml:space="preserve"> from</w:t>
      </w:r>
      <w:r w:rsidRPr="009F76CC">
        <w:rPr>
          <w:sz w:val="20"/>
          <w:szCs w:val="20"/>
        </w:rPr>
        <w:t xml:space="preserve"> the date of this form of tender or until any procurement challenge/s have been resolved. </w:t>
      </w:r>
    </w:p>
    <w:p w14:paraId="7AC6D76F" w14:textId="77777777" w:rsidR="009F76CC" w:rsidRPr="009F76CC" w:rsidRDefault="009F76CC" w:rsidP="009F76CC">
      <w:pPr>
        <w:pStyle w:val="BodyText1"/>
        <w:jc w:val="both"/>
        <w:rPr>
          <w:sz w:val="20"/>
          <w:szCs w:val="20"/>
        </w:rPr>
      </w:pPr>
      <w:r w:rsidRPr="009F76CC">
        <w:rPr>
          <w:sz w:val="20"/>
          <w:szCs w:val="20"/>
        </w:rPr>
        <w:t>I/We confirm that I/we are authorised to commit the Supplier to the contractual obligations contained in the ITT and the draft Contract.</w:t>
      </w:r>
    </w:p>
    <w:p w14:paraId="3943B968" w14:textId="77777777" w:rsidR="009F76CC" w:rsidRPr="009F76CC" w:rsidRDefault="009F76CC" w:rsidP="009F76CC">
      <w:pPr>
        <w:pStyle w:val="BodyText1"/>
        <w:jc w:val="both"/>
        <w:rPr>
          <w:sz w:val="20"/>
          <w:szCs w:val="20"/>
        </w:rPr>
      </w:pPr>
      <w:r w:rsidRPr="009F76CC">
        <w:rPr>
          <w:sz w:val="20"/>
          <w:szCs w:val="20"/>
        </w:rPr>
        <w:t xml:space="preserve">I/We confirm that the Supplier, together with all Associated Suppliers have developed the Tender response in full compliance with the ITT, including but not limited to, the requirements in Appendix A of the ITT.  </w:t>
      </w:r>
    </w:p>
    <w:p w14:paraId="762C9CD3" w14:textId="7EF90305" w:rsidR="009F76CC" w:rsidRPr="009F76CC" w:rsidRDefault="009F76CC" w:rsidP="009F76CC">
      <w:pPr>
        <w:pStyle w:val="BodyText1"/>
        <w:jc w:val="both"/>
        <w:rPr>
          <w:sz w:val="20"/>
          <w:szCs w:val="20"/>
        </w:rPr>
      </w:pPr>
      <w:r w:rsidRPr="009F76CC">
        <w:rPr>
          <w:sz w:val="20"/>
          <w:szCs w:val="20"/>
        </w:rPr>
        <w:t xml:space="preserve">I/We understand that non-compliance with the requirements of the ITT or with any other instructions given by the </w:t>
      </w:r>
      <w:r w:rsidR="00007DF0">
        <w:rPr>
          <w:sz w:val="20"/>
          <w:szCs w:val="20"/>
        </w:rPr>
        <w:t>Trust</w:t>
      </w:r>
      <w:r w:rsidRPr="009F76CC">
        <w:rPr>
          <w:sz w:val="20"/>
          <w:szCs w:val="20"/>
        </w:rPr>
        <w:t xml:space="preserve"> may lead to me/us being excluded by the </w:t>
      </w:r>
      <w:r w:rsidR="00007DF0">
        <w:rPr>
          <w:sz w:val="20"/>
          <w:szCs w:val="20"/>
        </w:rPr>
        <w:t>Trust</w:t>
      </w:r>
      <w:r w:rsidRPr="009F76CC">
        <w:rPr>
          <w:sz w:val="20"/>
          <w:szCs w:val="20"/>
        </w:rPr>
        <w:t xml:space="preserve"> from (further) participation in the Procurement.</w:t>
      </w:r>
    </w:p>
    <w:p w14:paraId="288946E3" w14:textId="797BC0FF" w:rsidR="009F76CC" w:rsidRPr="009F76CC" w:rsidRDefault="009F76CC" w:rsidP="009F76CC">
      <w:pPr>
        <w:pStyle w:val="BodyText1"/>
        <w:jc w:val="both"/>
        <w:rPr>
          <w:sz w:val="20"/>
          <w:szCs w:val="20"/>
        </w:rPr>
      </w:pPr>
      <w:r w:rsidRPr="009F76CC">
        <w:rPr>
          <w:sz w:val="20"/>
          <w:szCs w:val="20"/>
        </w:rPr>
        <w:t xml:space="preserve">I/We agree that the </w:t>
      </w:r>
      <w:r w:rsidR="00007DF0">
        <w:rPr>
          <w:sz w:val="20"/>
          <w:szCs w:val="20"/>
        </w:rPr>
        <w:t>Trust</w:t>
      </w:r>
      <w:r w:rsidRPr="009F76CC">
        <w:rPr>
          <w:sz w:val="20"/>
          <w:szCs w:val="20"/>
        </w:rPr>
        <w:t xml:space="preserve"> may disclose the Supplier’s information/documentation (submitted to the </w:t>
      </w:r>
      <w:r w:rsidR="00007DF0">
        <w:rPr>
          <w:sz w:val="20"/>
          <w:szCs w:val="20"/>
        </w:rPr>
        <w:t>Trust</w:t>
      </w:r>
      <w:r w:rsidRPr="009F76CC">
        <w:rPr>
          <w:sz w:val="20"/>
          <w:szCs w:val="20"/>
        </w:rPr>
        <w:t xml:space="preserve"> during this Procurement) more widely within government for the purpose of ensuring effective cross-government procurement processes, including value for money and related purposes.</w:t>
      </w:r>
    </w:p>
    <w:p w14:paraId="35712C3C" w14:textId="77777777" w:rsidR="009F76CC" w:rsidRPr="009F76CC" w:rsidRDefault="009F76CC" w:rsidP="009F76CC">
      <w:pPr>
        <w:tabs>
          <w:tab w:val="left" w:pos="2751"/>
        </w:tabs>
        <w:ind w:left="57"/>
        <w:rPr>
          <w:color w:val="000000"/>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9F76CC" w:rsidRPr="009F76CC" w14:paraId="6DB49256" w14:textId="77777777" w:rsidTr="0035109B">
        <w:trPr>
          <w:cantSplit/>
        </w:trPr>
        <w:tc>
          <w:tcPr>
            <w:tcW w:w="2410" w:type="dxa"/>
            <w:tcBorders>
              <w:right w:val="single" w:sz="4" w:space="0" w:color="auto"/>
            </w:tcBorders>
            <w:tcMar>
              <w:left w:w="0" w:type="dxa"/>
            </w:tcMar>
          </w:tcPr>
          <w:p w14:paraId="51BAD55C" w14:textId="77777777" w:rsidR="009F76CC" w:rsidRPr="009F76CC" w:rsidRDefault="009F76CC" w:rsidP="0035109B">
            <w:pPr>
              <w:rPr>
                <w:b/>
                <w:bCs/>
              </w:rPr>
            </w:pPr>
            <w:r w:rsidRPr="009F76CC">
              <w:rPr>
                <w:b/>
              </w:rPr>
              <w:br/>
              <w:t>Signature</w:t>
            </w:r>
          </w:p>
        </w:tc>
        <w:tc>
          <w:tcPr>
            <w:tcW w:w="6946" w:type="dxa"/>
            <w:tcBorders>
              <w:top w:val="single" w:sz="4" w:space="0" w:color="auto"/>
              <w:left w:val="single" w:sz="4" w:space="0" w:color="auto"/>
              <w:bottom w:val="single" w:sz="4" w:space="0" w:color="auto"/>
              <w:right w:val="single" w:sz="4" w:space="0" w:color="auto"/>
            </w:tcBorders>
          </w:tcPr>
          <w:p w14:paraId="079802EA" w14:textId="77777777" w:rsidR="009F76CC" w:rsidRPr="009F76CC" w:rsidRDefault="009F76CC" w:rsidP="0035109B">
            <w:pPr>
              <w:rPr>
                <w:color w:val="000000"/>
              </w:rPr>
            </w:pPr>
          </w:p>
        </w:tc>
      </w:tr>
    </w:tbl>
    <w:p w14:paraId="435EEA73" w14:textId="77777777" w:rsidR="009F76CC" w:rsidRPr="009F76CC" w:rsidRDefault="009F76CC" w:rsidP="009F76CC">
      <w:pPr>
        <w:tabs>
          <w:tab w:val="left" w:pos="2751"/>
        </w:tabs>
        <w:ind w:left="57"/>
        <w:rPr>
          <w:color w:val="000000"/>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9F76CC" w:rsidRPr="009F76CC" w14:paraId="47D8D09B" w14:textId="77777777" w:rsidTr="0035109B">
        <w:trPr>
          <w:cantSplit/>
        </w:trPr>
        <w:tc>
          <w:tcPr>
            <w:tcW w:w="2410" w:type="dxa"/>
            <w:tcBorders>
              <w:right w:val="single" w:sz="4" w:space="0" w:color="auto"/>
            </w:tcBorders>
            <w:tcMar>
              <w:left w:w="0" w:type="dxa"/>
            </w:tcMar>
          </w:tcPr>
          <w:p w14:paraId="2B550556" w14:textId="77777777" w:rsidR="009F76CC" w:rsidRPr="009F76CC" w:rsidRDefault="009F76CC" w:rsidP="0035109B">
            <w:pPr>
              <w:rPr>
                <w:b/>
                <w:bCs/>
              </w:rPr>
            </w:pPr>
            <w:r w:rsidRPr="009F76CC">
              <w:rPr>
                <w:b/>
              </w:rPr>
              <w:t>Name (print)</w:t>
            </w:r>
          </w:p>
        </w:tc>
        <w:tc>
          <w:tcPr>
            <w:tcW w:w="6946" w:type="dxa"/>
            <w:tcBorders>
              <w:top w:val="single" w:sz="4" w:space="0" w:color="auto"/>
              <w:left w:val="single" w:sz="4" w:space="0" w:color="auto"/>
              <w:bottom w:val="single" w:sz="4" w:space="0" w:color="auto"/>
              <w:right w:val="single" w:sz="4" w:space="0" w:color="auto"/>
            </w:tcBorders>
          </w:tcPr>
          <w:p w14:paraId="77BA799F" w14:textId="77777777" w:rsidR="009F76CC" w:rsidRPr="009F76CC" w:rsidRDefault="009F76CC" w:rsidP="0035109B">
            <w:pPr>
              <w:rPr>
                <w:color w:val="000000"/>
              </w:rPr>
            </w:pPr>
          </w:p>
        </w:tc>
      </w:tr>
    </w:tbl>
    <w:p w14:paraId="63C7B049" w14:textId="77777777" w:rsidR="009F76CC" w:rsidRPr="009F76CC" w:rsidRDefault="009F76CC" w:rsidP="009F76CC">
      <w:pPr>
        <w:tabs>
          <w:tab w:val="left" w:pos="2751"/>
        </w:tabs>
        <w:ind w:left="57"/>
        <w:rPr>
          <w:color w:val="000000"/>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9F76CC" w:rsidRPr="009F76CC" w14:paraId="6AEDE143" w14:textId="77777777" w:rsidTr="0035109B">
        <w:trPr>
          <w:cantSplit/>
          <w:trHeight w:val="23"/>
        </w:trPr>
        <w:tc>
          <w:tcPr>
            <w:tcW w:w="2410" w:type="dxa"/>
            <w:tcBorders>
              <w:right w:val="single" w:sz="4" w:space="0" w:color="auto"/>
            </w:tcBorders>
            <w:tcMar>
              <w:left w:w="0" w:type="dxa"/>
            </w:tcMar>
          </w:tcPr>
          <w:p w14:paraId="7EC2C286" w14:textId="77777777" w:rsidR="009F76CC" w:rsidRPr="009F76CC" w:rsidRDefault="009F76CC" w:rsidP="0035109B">
            <w:pPr>
              <w:rPr>
                <w:b/>
                <w:bCs/>
              </w:rPr>
            </w:pPr>
            <w:r w:rsidRPr="009F76CC">
              <w:rPr>
                <w:b/>
              </w:rPr>
              <w:t>Position</w:t>
            </w:r>
          </w:p>
        </w:tc>
        <w:tc>
          <w:tcPr>
            <w:tcW w:w="6946" w:type="dxa"/>
            <w:tcBorders>
              <w:top w:val="single" w:sz="4" w:space="0" w:color="auto"/>
              <w:left w:val="single" w:sz="4" w:space="0" w:color="auto"/>
              <w:bottom w:val="single" w:sz="4" w:space="0" w:color="auto"/>
              <w:right w:val="single" w:sz="4" w:space="0" w:color="auto"/>
            </w:tcBorders>
          </w:tcPr>
          <w:p w14:paraId="10AD7F00" w14:textId="77777777" w:rsidR="009F76CC" w:rsidRPr="009F76CC" w:rsidRDefault="009F76CC" w:rsidP="0035109B">
            <w:pPr>
              <w:rPr>
                <w:color w:val="000000"/>
              </w:rPr>
            </w:pPr>
          </w:p>
        </w:tc>
      </w:tr>
    </w:tbl>
    <w:p w14:paraId="42E7C55F" w14:textId="77777777" w:rsidR="009F76CC" w:rsidRPr="009F76CC" w:rsidRDefault="009F76CC" w:rsidP="009F76CC">
      <w:pPr>
        <w:tabs>
          <w:tab w:val="left" w:pos="2751"/>
        </w:tabs>
        <w:ind w:left="57"/>
        <w:rPr>
          <w:color w:val="000000"/>
        </w:rPr>
      </w:pPr>
    </w:p>
    <w:tbl>
      <w:tblPr>
        <w:tblW w:w="9356" w:type="dxa"/>
        <w:tblLayout w:type="fixed"/>
        <w:tblCellMar>
          <w:top w:w="57" w:type="dxa"/>
          <w:bottom w:w="57" w:type="dxa"/>
        </w:tblCellMar>
        <w:tblLook w:val="0400" w:firstRow="0" w:lastRow="0" w:firstColumn="0" w:lastColumn="0" w:noHBand="0" w:noVBand="1"/>
      </w:tblPr>
      <w:tblGrid>
        <w:gridCol w:w="2410"/>
        <w:gridCol w:w="6946"/>
      </w:tblGrid>
      <w:tr w:rsidR="009F76CC" w:rsidRPr="009F76CC" w14:paraId="31117738" w14:textId="77777777" w:rsidTr="0035109B">
        <w:trPr>
          <w:cantSplit/>
        </w:trPr>
        <w:tc>
          <w:tcPr>
            <w:tcW w:w="2410" w:type="dxa"/>
            <w:tcBorders>
              <w:right w:val="single" w:sz="4" w:space="0" w:color="auto"/>
            </w:tcBorders>
            <w:tcMar>
              <w:left w:w="0" w:type="dxa"/>
            </w:tcMar>
          </w:tcPr>
          <w:p w14:paraId="508B9511" w14:textId="77777777" w:rsidR="009F76CC" w:rsidRPr="009F76CC" w:rsidRDefault="009F76CC" w:rsidP="0035109B">
            <w:pPr>
              <w:rPr>
                <w:b/>
                <w:bCs/>
              </w:rPr>
            </w:pPr>
            <w:r w:rsidRPr="009F76CC">
              <w:rPr>
                <w:b/>
              </w:rPr>
              <w:t>Supplier name</w:t>
            </w:r>
          </w:p>
        </w:tc>
        <w:tc>
          <w:tcPr>
            <w:tcW w:w="6946" w:type="dxa"/>
            <w:tcBorders>
              <w:top w:val="single" w:sz="4" w:space="0" w:color="auto"/>
              <w:left w:val="single" w:sz="4" w:space="0" w:color="auto"/>
              <w:bottom w:val="single" w:sz="4" w:space="0" w:color="auto"/>
              <w:right w:val="single" w:sz="4" w:space="0" w:color="auto"/>
            </w:tcBorders>
          </w:tcPr>
          <w:p w14:paraId="15E298ED" w14:textId="77777777" w:rsidR="009F76CC" w:rsidRPr="009F76CC" w:rsidRDefault="009F76CC" w:rsidP="0035109B">
            <w:pPr>
              <w:rPr>
                <w:color w:val="000000"/>
              </w:rPr>
            </w:pPr>
          </w:p>
        </w:tc>
      </w:tr>
    </w:tbl>
    <w:p w14:paraId="06175EE3" w14:textId="77777777" w:rsidR="009F76CC" w:rsidRPr="009F76CC" w:rsidRDefault="009F76CC" w:rsidP="009F76CC">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9F76CC" w:rsidRPr="009F76CC" w14:paraId="5B6A5A59" w14:textId="77777777" w:rsidTr="0035109B">
        <w:trPr>
          <w:cantSplit/>
        </w:trPr>
        <w:tc>
          <w:tcPr>
            <w:tcW w:w="2410" w:type="dxa"/>
            <w:tcBorders>
              <w:right w:val="single" w:sz="4" w:space="0" w:color="auto"/>
            </w:tcBorders>
            <w:tcMar>
              <w:left w:w="0" w:type="dxa"/>
            </w:tcMar>
          </w:tcPr>
          <w:p w14:paraId="499FDF24" w14:textId="77777777" w:rsidR="009F76CC" w:rsidRPr="009F76CC" w:rsidRDefault="009F76CC" w:rsidP="0035109B">
            <w:pPr>
              <w:rPr>
                <w:b/>
                <w:bCs/>
              </w:rPr>
            </w:pPr>
            <w:r w:rsidRPr="009F76CC">
              <w:rPr>
                <w:b/>
                <w:bCs/>
              </w:rPr>
              <w:t>Date</w:t>
            </w:r>
          </w:p>
        </w:tc>
        <w:tc>
          <w:tcPr>
            <w:tcW w:w="4253" w:type="dxa"/>
            <w:tcBorders>
              <w:top w:val="single" w:sz="4" w:space="0" w:color="auto"/>
              <w:left w:val="single" w:sz="4" w:space="0" w:color="auto"/>
              <w:bottom w:val="single" w:sz="4" w:space="0" w:color="auto"/>
              <w:right w:val="single" w:sz="4" w:space="0" w:color="auto"/>
            </w:tcBorders>
          </w:tcPr>
          <w:p w14:paraId="15403628" w14:textId="77777777" w:rsidR="009F76CC" w:rsidRPr="009F76CC" w:rsidRDefault="009F76CC" w:rsidP="0035109B">
            <w:pPr>
              <w:rPr>
                <w:color w:val="000000"/>
              </w:rPr>
            </w:pPr>
          </w:p>
        </w:tc>
      </w:tr>
    </w:tbl>
    <w:p w14:paraId="287B3B0D" w14:textId="77777777" w:rsidR="00911A7D" w:rsidRPr="009F76CC" w:rsidRDefault="00911A7D" w:rsidP="002C0D70">
      <w:pPr>
        <w:pStyle w:val="Level2"/>
        <w:numPr>
          <w:ilvl w:val="0"/>
          <w:numId w:val="0"/>
        </w:numPr>
        <w:ind w:left="720" w:hanging="720"/>
      </w:pPr>
    </w:p>
    <w:p w14:paraId="680FAC85" w14:textId="3C5A58D6" w:rsidR="00911A7D" w:rsidRPr="009F76CC" w:rsidRDefault="00911A7D">
      <w:pPr>
        <w:adjustRightInd/>
        <w:spacing w:after="160" w:line="259" w:lineRule="auto"/>
        <w:rPr>
          <w:rFonts w:eastAsia="Arial" w:cs="Arial"/>
        </w:rPr>
      </w:pPr>
      <w:r w:rsidRPr="009F76CC">
        <w:br w:type="page"/>
      </w:r>
    </w:p>
    <w:p w14:paraId="0630CB94" w14:textId="7DBE00D1" w:rsidR="009F76CC" w:rsidRPr="008C21F5" w:rsidRDefault="00911A7D" w:rsidP="008C21F5">
      <w:pPr>
        <w:pStyle w:val="Level1Heading"/>
        <w:numPr>
          <w:ilvl w:val="0"/>
          <w:numId w:val="0"/>
        </w:numPr>
        <w:jc w:val="center"/>
      </w:pPr>
      <w:bookmarkStart w:id="31" w:name="_Toc197441915"/>
      <w:r>
        <w:lastRenderedPageBreak/>
        <w:t>APPENDIX F</w:t>
      </w:r>
      <w:r w:rsidRPr="00E5488A">
        <w:t xml:space="preserve"> </w:t>
      </w:r>
      <w:r>
        <w:t>–</w:t>
      </w:r>
      <w:r w:rsidRPr="00E5488A">
        <w:t xml:space="preserve"> </w:t>
      </w:r>
      <w:r>
        <w:t>COMMERICALLY SENSITIVE INFORMATION</w:t>
      </w:r>
      <w:bookmarkEnd w:id="31"/>
    </w:p>
    <w:p w14:paraId="3D39E71C" w14:textId="77777777" w:rsidR="009F76CC" w:rsidRPr="009F76CC" w:rsidRDefault="009F76CC" w:rsidP="009F76CC">
      <w:pPr>
        <w:pStyle w:val="BodyText1"/>
        <w:rPr>
          <w:sz w:val="20"/>
          <w:szCs w:val="20"/>
        </w:rPr>
      </w:pPr>
      <w:r w:rsidRPr="009F76CC">
        <w:rPr>
          <w:sz w:val="20"/>
          <w:szCs w:val="20"/>
        </w:rPr>
        <w:t>This appendix should be read in conjunction with the relevant paragraphs relating to freedom of information (FOIA) and environmental information (EIR) in the Procurement terms and conditions.</w:t>
      </w:r>
    </w:p>
    <w:p w14:paraId="716403D2" w14:textId="77777777" w:rsidR="009F76CC" w:rsidRPr="009F76CC" w:rsidRDefault="009F76CC" w:rsidP="009F76CC">
      <w:pPr>
        <w:pStyle w:val="BodyText1"/>
        <w:rPr>
          <w:sz w:val="20"/>
          <w:szCs w:val="20"/>
        </w:rPr>
      </w:pPr>
      <w:r w:rsidRPr="009F76CC">
        <w:rPr>
          <w:sz w:val="20"/>
          <w:szCs w:val="20"/>
        </w:rPr>
        <w:t>I declare that I wish the following information to be designated as commercially sensitive: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498"/>
      </w:tblGrid>
      <w:tr w:rsidR="009F76CC" w:rsidRPr="009F76CC" w14:paraId="2DF4709C" w14:textId="77777777" w:rsidTr="0035109B">
        <w:trPr>
          <w:cantSplit/>
          <w:trHeight w:val="1134"/>
        </w:trPr>
        <w:tc>
          <w:tcPr>
            <w:tcW w:w="9498" w:type="dxa"/>
          </w:tcPr>
          <w:p w14:paraId="24F389A6" w14:textId="77777777" w:rsidR="009F76CC" w:rsidRPr="009F76CC" w:rsidRDefault="009F76CC" w:rsidP="0035109B">
            <w:pPr>
              <w:spacing w:after="120"/>
            </w:pPr>
          </w:p>
        </w:tc>
      </w:tr>
    </w:tbl>
    <w:p w14:paraId="1590D935" w14:textId="77777777" w:rsidR="009F76CC" w:rsidRPr="009F76CC" w:rsidRDefault="009F76CC" w:rsidP="009F76CC">
      <w:pPr>
        <w:pStyle w:val="BodyText1"/>
        <w:rPr>
          <w:sz w:val="20"/>
          <w:szCs w:val="20"/>
        </w:rPr>
      </w:pPr>
    </w:p>
    <w:p w14:paraId="70E97322" w14:textId="77777777" w:rsidR="009F76CC" w:rsidRPr="009F76CC" w:rsidRDefault="009F76CC" w:rsidP="009F76CC">
      <w:pPr>
        <w:pStyle w:val="BodyText1"/>
        <w:ind w:right="-427"/>
        <w:rPr>
          <w:sz w:val="20"/>
          <w:szCs w:val="20"/>
        </w:rPr>
      </w:pPr>
      <w:r w:rsidRPr="009F76CC">
        <w:rPr>
          <w:sz w:val="20"/>
          <w:szCs w:val="20"/>
        </w:rPr>
        <w:t>The reason(s) it is considered that this information should be exempt under FOIA and EIR is: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498"/>
      </w:tblGrid>
      <w:tr w:rsidR="009F76CC" w:rsidRPr="009F76CC" w14:paraId="6D54C978" w14:textId="77777777" w:rsidTr="0035109B">
        <w:trPr>
          <w:cantSplit/>
          <w:trHeight w:val="1134"/>
        </w:trPr>
        <w:tc>
          <w:tcPr>
            <w:tcW w:w="9498" w:type="dxa"/>
          </w:tcPr>
          <w:p w14:paraId="46F2D7FC" w14:textId="77777777" w:rsidR="009F76CC" w:rsidRPr="009F76CC" w:rsidRDefault="009F76CC" w:rsidP="0035109B">
            <w:pPr>
              <w:spacing w:after="120"/>
            </w:pPr>
          </w:p>
        </w:tc>
      </w:tr>
    </w:tbl>
    <w:p w14:paraId="68C1E226" w14:textId="77777777" w:rsidR="009F76CC" w:rsidRPr="009F76CC" w:rsidRDefault="009F76CC" w:rsidP="009F76CC">
      <w:pPr>
        <w:pStyle w:val="BodyText1"/>
        <w:rPr>
          <w:sz w:val="20"/>
          <w:szCs w:val="20"/>
        </w:rPr>
      </w:pPr>
    </w:p>
    <w:p w14:paraId="710DB8D3" w14:textId="77777777" w:rsidR="009F76CC" w:rsidRPr="009F76CC" w:rsidRDefault="009F76CC" w:rsidP="009F76CC">
      <w:pPr>
        <w:pStyle w:val="BodyText1"/>
        <w:rPr>
          <w:sz w:val="20"/>
          <w:szCs w:val="20"/>
        </w:rPr>
      </w:pPr>
      <w:r w:rsidRPr="009F76CC">
        <w:rPr>
          <w:sz w:val="20"/>
          <w:szCs w:val="20"/>
        </w:rPr>
        <w:t>The period of time for which it is considered this information should be exempt is: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498"/>
      </w:tblGrid>
      <w:tr w:rsidR="009F76CC" w:rsidRPr="009F76CC" w14:paraId="425B5096" w14:textId="77777777" w:rsidTr="0035109B">
        <w:trPr>
          <w:cantSplit/>
          <w:trHeight w:val="1134"/>
        </w:trPr>
        <w:tc>
          <w:tcPr>
            <w:tcW w:w="9498" w:type="dxa"/>
          </w:tcPr>
          <w:p w14:paraId="36785B82" w14:textId="77777777" w:rsidR="009F76CC" w:rsidRPr="009F76CC" w:rsidRDefault="009F76CC" w:rsidP="0035109B">
            <w:pPr>
              <w:spacing w:after="120"/>
            </w:pPr>
          </w:p>
        </w:tc>
      </w:tr>
    </w:tbl>
    <w:p w14:paraId="442F5379" w14:textId="77777777" w:rsidR="009F76CC" w:rsidRPr="009F76CC" w:rsidRDefault="009F76CC" w:rsidP="009F76CC">
      <w:pPr>
        <w:pStyle w:val="BodyText1"/>
        <w:rPr>
          <w:sz w:val="20"/>
          <w:szCs w:val="20"/>
        </w:rPr>
      </w:pPr>
    </w:p>
    <w:p w14:paraId="66A21FA6" w14:textId="77777777" w:rsidR="009F76CC" w:rsidRPr="009F76CC" w:rsidRDefault="009F76CC" w:rsidP="009F76CC">
      <w:pPr>
        <w:pStyle w:val="BodyText1"/>
        <w:rPr>
          <w:sz w:val="20"/>
          <w:szCs w:val="20"/>
        </w:rPr>
      </w:pPr>
      <w:r w:rsidRPr="009F76CC">
        <w:rPr>
          <w:sz w:val="20"/>
          <w:szCs w:val="20"/>
          <w:highlight w:val="yellow"/>
        </w:rPr>
        <w:t>Supplier to amend as appropriate e.g. [until award of contract OR during the period of the contract OR for a period of [number] years until [month], [year]].</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498"/>
      </w:tblGrid>
      <w:tr w:rsidR="009F76CC" w:rsidRPr="009F76CC" w14:paraId="79791BA2" w14:textId="77777777" w:rsidTr="0035109B">
        <w:trPr>
          <w:cantSplit/>
          <w:trHeight w:val="1134"/>
        </w:trPr>
        <w:tc>
          <w:tcPr>
            <w:tcW w:w="9498" w:type="dxa"/>
          </w:tcPr>
          <w:p w14:paraId="74A50336" w14:textId="77777777" w:rsidR="009F76CC" w:rsidRPr="009F76CC" w:rsidRDefault="009F76CC" w:rsidP="0035109B">
            <w:pPr>
              <w:spacing w:after="120"/>
            </w:pPr>
          </w:p>
        </w:tc>
      </w:tr>
    </w:tbl>
    <w:p w14:paraId="36262125" w14:textId="77777777" w:rsidR="009F76CC" w:rsidRPr="009F76CC" w:rsidRDefault="009F76CC" w:rsidP="009F76CC">
      <w:pPr>
        <w:pStyle w:val="BodyText1"/>
        <w:rPr>
          <w:sz w:val="20"/>
          <w:szCs w:val="20"/>
        </w:rPr>
      </w:pPr>
    </w:p>
    <w:tbl>
      <w:tblPr>
        <w:tblW w:w="9498" w:type="dxa"/>
        <w:tblLayout w:type="fixed"/>
        <w:tblCellMar>
          <w:top w:w="57" w:type="dxa"/>
          <w:bottom w:w="57" w:type="dxa"/>
        </w:tblCellMar>
        <w:tblLook w:val="0400" w:firstRow="0" w:lastRow="0" w:firstColumn="0" w:lastColumn="0" w:noHBand="0" w:noVBand="1"/>
      </w:tblPr>
      <w:tblGrid>
        <w:gridCol w:w="2410"/>
        <w:gridCol w:w="7088"/>
      </w:tblGrid>
      <w:tr w:rsidR="009F76CC" w:rsidRPr="009F76CC" w14:paraId="521561EC" w14:textId="77777777" w:rsidTr="0035109B">
        <w:trPr>
          <w:cantSplit/>
        </w:trPr>
        <w:tc>
          <w:tcPr>
            <w:tcW w:w="2410" w:type="dxa"/>
            <w:tcBorders>
              <w:right w:val="single" w:sz="4" w:space="0" w:color="auto"/>
            </w:tcBorders>
            <w:tcMar>
              <w:left w:w="0" w:type="dxa"/>
            </w:tcMar>
          </w:tcPr>
          <w:p w14:paraId="6FD255B1" w14:textId="77777777" w:rsidR="009F76CC" w:rsidRPr="009F76CC" w:rsidRDefault="009F76CC" w:rsidP="0035109B">
            <w:pPr>
              <w:rPr>
                <w:b/>
                <w:bCs/>
              </w:rPr>
            </w:pPr>
            <w:r w:rsidRPr="009F76CC">
              <w:rPr>
                <w:b/>
              </w:rPr>
              <w:br/>
              <w:t>Signature</w:t>
            </w:r>
          </w:p>
        </w:tc>
        <w:tc>
          <w:tcPr>
            <w:tcW w:w="7088" w:type="dxa"/>
            <w:tcBorders>
              <w:top w:val="single" w:sz="4" w:space="0" w:color="auto"/>
              <w:left w:val="single" w:sz="4" w:space="0" w:color="auto"/>
              <w:bottom w:val="single" w:sz="4" w:space="0" w:color="auto"/>
              <w:right w:val="single" w:sz="4" w:space="0" w:color="auto"/>
            </w:tcBorders>
          </w:tcPr>
          <w:p w14:paraId="732E4B8D" w14:textId="77777777" w:rsidR="009F76CC" w:rsidRPr="009F76CC" w:rsidRDefault="009F76CC" w:rsidP="0035109B">
            <w:pPr>
              <w:rPr>
                <w:color w:val="000000"/>
              </w:rPr>
            </w:pPr>
          </w:p>
        </w:tc>
      </w:tr>
    </w:tbl>
    <w:p w14:paraId="195A84C3" w14:textId="77777777" w:rsidR="009F76CC" w:rsidRPr="009F76CC" w:rsidRDefault="009F76CC" w:rsidP="009F76CC">
      <w:pPr>
        <w:tabs>
          <w:tab w:val="left" w:pos="2751"/>
        </w:tabs>
        <w:ind w:left="57"/>
        <w:rPr>
          <w:color w:val="000000"/>
        </w:rPr>
      </w:pPr>
    </w:p>
    <w:tbl>
      <w:tblPr>
        <w:tblW w:w="9498" w:type="dxa"/>
        <w:tblLayout w:type="fixed"/>
        <w:tblCellMar>
          <w:top w:w="57" w:type="dxa"/>
          <w:bottom w:w="57" w:type="dxa"/>
        </w:tblCellMar>
        <w:tblLook w:val="0400" w:firstRow="0" w:lastRow="0" w:firstColumn="0" w:lastColumn="0" w:noHBand="0" w:noVBand="1"/>
      </w:tblPr>
      <w:tblGrid>
        <w:gridCol w:w="2410"/>
        <w:gridCol w:w="7088"/>
      </w:tblGrid>
      <w:tr w:rsidR="009F76CC" w:rsidRPr="009F76CC" w14:paraId="41910645" w14:textId="77777777" w:rsidTr="0035109B">
        <w:trPr>
          <w:cantSplit/>
        </w:trPr>
        <w:tc>
          <w:tcPr>
            <w:tcW w:w="2410" w:type="dxa"/>
            <w:tcBorders>
              <w:right w:val="single" w:sz="4" w:space="0" w:color="auto"/>
            </w:tcBorders>
            <w:tcMar>
              <w:left w:w="0" w:type="dxa"/>
            </w:tcMar>
          </w:tcPr>
          <w:p w14:paraId="40A3E124" w14:textId="77777777" w:rsidR="009F76CC" w:rsidRPr="009F76CC" w:rsidRDefault="009F76CC" w:rsidP="0035109B">
            <w:pPr>
              <w:rPr>
                <w:b/>
                <w:bCs/>
              </w:rPr>
            </w:pPr>
            <w:r w:rsidRPr="009F76CC">
              <w:rPr>
                <w:b/>
              </w:rPr>
              <w:t>Name (print)</w:t>
            </w:r>
          </w:p>
        </w:tc>
        <w:tc>
          <w:tcPr>
            <w:tcW w:w="7088" w:type="dxa"/>
            <w:tcBorders>
              <w:top w:val="single" w:sz="4" w:space="0" w:color="auto"/>
              <w:left w:val="single" w:sz="4" w:space="0" w:color="auto"/>
              <w:bottom w:val="single" w:sz="4" w:space="0" w:color="auto"/>
              <w:right w:val="single" w:sz="4" w:space="0" w:color="auto"/>
            </w:tcBorders>
          </w:tcPr>
          <w:p w14:paraId="6A00F3AC" w14:textId="77777777" w:rsidR="009F76CC" w:rsidRPr="009F76CC" w:rsidRDefault="009F76CC" w:rsidP="0035109B">
            <w:pPr>
              <w:rPr>
                <w:color w:val="000000"/>
              </w:rPr>
            </w:pPr>
          </w:p>
        </w:tc>
      </w:tr>
    </w:tbl>
    <w:p w14:paraId="73AA5769" w14:textId="77777777" w:rsidR="009F76CC" w:rsidRPr="009F76CC" w:rsidRDefault="009F76CC" w:rsidP="009F76CC">
      <w:pPr>
        <w:tabs>
          <w:tab w:val="left" w:pos="2751"/>
        </w:tabs>
        <w:ind w:left="57"/>
        <w:rPr>
          <w:color w:val="000000"/>
        </w:rPr>
      </w:pPr>
    </w:p>
    <w:tbl>
      <w:tblPr>
        <w:tblW w:w="9498" w:type="dxa"/>
        <w:tblLayout w:type="fixed"/>
        <w:tblCellMar>
          <w:top w:w="57" w:type="dxa"/>
          <w:bottom w:w="57" w:type="dxa"/>
        </w:tblCellMar>
        <w:tblLook w:val="0400" w:firstRow="0" w:lastRow="0" w:firstColumn="0" w:lastColumn="0" w:noHBand="0" w:noVBand="1"/>
      </w:tblPr>
      <w:tblGrid>
        <w:gridCol w:w="2410"/>
        <w:gridCol w:w="7088"/>
      </w:tblGrid>
      <w:tr w:rsidR="009F76CC" w:rsidRPr="009F76CC" w14:paraId="0214C19A" w14:textId="77777777" w:rsidTr="0035109B">
        <w:trPr>
          <w:cantSplit/>
          <w:trHeight w:val="23"/>
        </w:trPr>
        <w:tc>
          <w:tcPr>
            <w:tcW w:w="2410" w:type="dxa"/>
            <w:tcBorders>
              <w:right w:val="single" w:sz="4" w:space="0" w:color="auto"/>
            </w:tcBorders>
            <w:tcMar>
              <w:left w:w="0" w:type="dxa"/>
            </w:tcMar>
          </w:tcPr>
          <w:p w14:paraId="68E848E2" w14:textId="77777777" w:rsidR="009F76CC" w:rsidRPr="009F76CC" w:rsidRDefault="009F76CC" w:rsidP="0035109B">
            <w:pPr>
              <w:rPr>
                <w:b/>
                <w:bCs/>
              </w:rPr>
            </w:pPr>
            <w:r w:rsidRPr="009F76CC">
              <w:rPr>
                <w:b/>
              </w:rPr>
              <w:t>Position</w:t>
            </w:r>
          </w:p>
        </w:tc>
        <w:tc>
          <w:tcPr>
            <w:tcW w:w="7088" w:type="dxa"/>
            <w:tcBorders>
              <w:top w:val="single" w:sz="4" w:space="0" w:color="auto"/>
              <w:left w:val="single" w:sz="4" w:space="0" w:color="auto"/>
              <w:bottom w:val="single" w:sz="4" w:space="0" w:color="auto"/>
              <w:right w:val="single" w:sz="4" w:space="0" w:color="auto"/>
            </w:tcBorders>
          </w:tcPr>
          <w:p w14:paraId="3240FC1D" w14:textId="77777777" w:rsidR="009F76CC" w:rsidRPr="009F76CC" w:rsidRDefault="009F76CC" w:rsidP="0035109B">
            <w:pPr>
              <w:rPr>
                <w:color w:val="000000"/>
              </w:rPr>
            </w:pPr>
          </w:p>
        </w:tc>
      </w:tr>
    </w:tbl>
    <w:p w14:paraId="7153D4FC" w14:textId="77777777" w:rsidR="009F76CC" w:rsidRPr="009F76CC" w:rsidRDefault="009F76CC" w:rsidP="009F76CC">
      <w:pPr>
        <w:tabs>
          <w:tab w:val="left" w:pos="2751"/>
        </w:tabs>
        <w:ind w:left="57"/>
        <w:rPr>
          <w:color w:val="000000"/>
        </w:rPr>
      </w:pPr>
    </w:p>
    <w:tbl>
      <w:tblPr>
        <w:tblW w:w="9498" w:type="dxa"/>
        <w:tblLayout w:type="fixed"/>
        <w:tblCellMar>
          <w:top w:w="57" w:type="dxa"/>
          <w:bottom w:w="57" w:type="dxa"/>
        </w:tblCellMar>
        <w:tblLook w:val="0400" w:firstRow="0" w:lastRow="0" w:firstColumn="0" w:lastColumn="0" w:noHBand="0" w:noVBand="1"/>
      </w:tblPr>
      <w:tblGrid>
        <w:gridCol w:w="2410"/>
        <w:gridCol w:w="7088"/>
      </w:tblGrid>
      <w:tr w:rsidR="009F76CC" w:rsidRPr="009F76CC" w14:paraId="4855E01B" w14:textId="77777777" w:rsidTr="0035109B">
        <w:trPr>
          <w:cantSplit/>
        </w:trPr>
        <w:tc>
          <w:tcPr>
            <w:tcW w:w="2410" w:type="dxa"/>
            <w:tcBorders>
              <w:right w:val="single" w:sz="4" w:space="0" w:color="auto"/>
            </w:tcBorders>
            <w:tcMar>
              <w:left w:w="0" w:type="dxa"/>
            </w:tcMar>
          </w:tcPr>
          <w:p w14:paraId="381EAF8D" w14:textId="77777777" w:rsidR="009F76CC" w:rsidRPr="009F76CC" w:rsidRDefault="009F76CC" w:rsidP="0035109B">
            <w:pPr>
              <w:rPr>
                <w:b/>
                <w:bCs/>
              </w:rPr>
            </w:pPr>
            <w:r w:rsidRPr="009F76CC">
              <w:rPr>
                <w:b/>
              </w:rPr>
              <w:t>Supplier name</w:t>
            </w:r>
          </w:p>
        </w:tc>
        <w:tc>
          <w:tcPr>
            <w:tcW w:w="7088" w:type="dxa"/>
            <w:tcBorders>
              <w:top w:val="single" w:sz="4" w:space="0" w:color="auto"/>
              <w:left w:val="single" w:sz="4" w:space="0" w:color="auto"/>
              <w:bottom w:val="single" w:sz="4" w:space="0" w:color="auto"/>
              <w:right w:val="single" w:sz="4" w:space="0" w:color="auto"/>
            </w:tcBorders>
          </w:tcPr>
          <w:p w14:paraId="0C418347" w14:textId="77777777" w:rsidR="009F76CC" w:rsidRPr="009F76CC" w:rsidRDefault="009F76CC" w:rsidP="0035109B">
            <w:pPr>
              <w:rPr>
                <w:color w:val="000000"/>
              </w:rPr>
            </w:pPr>
          </w:p>
        </w:tc>
      </w:tr>
    </w:tbl>
    <w:p w14:paraId="2183572F" w14:textId="77777777" w:rsidR="009F76CC" w:rsidRPr="009F76CC" w:rsidRDefault="009F76CC" w:rsidP="009F76CC">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9F76CC" w:rsidRPr="009F76CC" w14:paraId="3FBA974A" w14:textId="77777777" w:rsidTr="0035109B">
        <w:trPr>
          <w:cantSplit/>
        </w:trPr>
        <w:tc>
          <w:tcPr>
            <w:tcW w:w="2410" w:type="dxa"/>
            <w:tcBorders>
              <w:right w:val="single" w:sz="4" w:space="0" w:color="auto"/>
            </w:tcBorders>
            <w:tcMar>
              <w:left w:w="0" w:type="dxa"/>
            </w:tcMar>
          </w:tcPr>
          <w:p w14:paraId="46B464B7" w14:textId="77777777" w:rsidR="009F76CC" w:rsidRPr="009F76CC" w:rsidRDefault="009F76CC" w:rsidP="0035109B">
            <w:pPr>
              <w:rPr>
                <w:b/>
                <w:bCs/>
              </w:rPr>
            </w:pPr>
            <w:r w:rsidRPr="009F76CC">
              <w:rPr>
                <w:b/>
                <w:bCs/>
              </w:rPr>
              <w:t>Date</w:t>
            </w:r>
          </w:p>
        </w:tc>
        <w:tc>
          <w:tcPr>
            <w:tcW w:w="4253" w:type="dxa"/>
            <w:tcBorders>
              <w:top w:val="single" w:sz="4" w:space="0" w:color="auto"/>
              <w:left w:val="single" w:sz="4" w:space="0" w:color="auto"/>
              <w:bottom w:val="single" w:sz="4" w:space="0" w:color="auto"/>
              <w:right w:val="single" w:sz="4" w:space="0" w:color="auto"/>
            </w:tcBorders>
          </w:tcPr>
          <w:p w14:paraId="118894A1" w14:textId="77777777" w:rsidR="009F76CC" w:rsidRPr="009F76CC" w:rsidRDefault="009F76CC" w:rsidP="0035109B">
            <w:pPr>
              <w:rPr>
                <w:color w:val="000000"/>
              </w:rPr>
            </w:pPr>
          </w:p>
        </w:tc>
      </w:tr>
    </w:tbl>
    <w:p w14:paraId="0F0F8788" w14:textId="77777777" w:rsidR="008C21F5" w:rsidRDefault="008C21F5" w:rsidP="0091734E">
      <w:pPr>
        <w:tabs>
          <w:tab w:val="left" w:pos="2751"/>
        </w:tabs>
        <w:jc w:val="center"/>
        <w:rPr>
          <w:b/>
          <w:bCs/>
          <w:color w:val="000000"/>
        </w:rPr>
      </w:pPr>
    </w:p>
    <w:p w14:paraId="621DF1BD" w14:textId="77777777" w:rsidR="008C21F5" w:rsidRDefault="008C21F5" w:rsidP="0091734E">
      <w:pPr>
        <w:tabs>
          <w:tab w:val="left" w:pos="2751"/>
        </w:tabs>
        <w:jc w:val="center"/>
        <w:rPr>
          <w:b/>
          <w:bCs/>
          <w:color w:val="000000"/>
        </w:rPr>
      </w:pPr>
    </w:p>
    <w:p w14:paraId="7942741E" w14:textId="557B9A9B" w:rsidR="009F76CC" w:rsidRPr="003026E1" w:rsidRDefault="0091734E" w:rsidP="003026E1">
      <w:pPr>
        <w:pStyle w:val="Level1Heading"/>
        <w:numPr>
          <w:ilvl w:val="0"/>
          <w:numId w:val="0"/>
        </w:numPr>
        <w:ind w:left="720"/>
      </w:pPr>
      <w:r w:rsidRPr="0091734E">
        <w:lastRenderedPageBreak/>
        <w:t>APPENDIX G – RATE CARD TEMPLATE FOR COMMERCIAL EVALUATION</w:t>
      </w:r>
    </w:p>
    <w:p w14:paraId="710EE082" w14:textId="145B2296" w:rsidR="00911A7D" w:rsidRDefault="00F44196" w:rsidP="00F44196">
      <w:pPr>
        <w:pStyle w:val="Level2"/>
        <w:numPr>
          <w:ilvl w:val="0"/>
          <w:numId w:val="0"/>
        </w:numPr>
      </w:pPr>
      <w:r w:rsidRPr="00F44196">
        <w:t xml:space="preserve">This appendix should be read in conjunction with the relevant paragraphs relating to </w:t>
      </w:r>
      <w:r w:rsidR="00694CB2">
        <w:t>the commercial evaluation</w:t>
      </w:r>
      <w:r w:rsidRPr="00F44196">
        <w:t>.</w:t>
      </w:r>
      <w:r w:rsidR="006B66C4">
        <w:t xml:space="preserve"> The template </w:t>
      </w:r>
      <w:r w:rsidR="00C00FE4">
        <w:t>should be used to provide</w:t>
      </w:r>
      <w:r w:rsidR="008D7777">
        <w:t xml:space="preserve"> </w:t>
      </w:r>
      <w:r w:rsidR="0057077D">
        <w:t>the total cost</w:t>
      </w:r>
      <w:r w:rsidR="00F606DD">
        <w:t xml:space="preserve"> </w:t>
      </w:r>
      <w:r w:rsidR="00A83FBB">
        <w:t>for each</w:t>
      </w:r>
      <w:r w:rsidR="006360AA">
        <w:t xml:space="preserve"> role</w:t>
      </w:r>
      <w:r w:rsidR="00610B02">
        <w:t xml:space="preserve"> (or nearest equi</w:t>
      </w:r>
      <w:r w:rsidR="007D7536">
        <w:t>valent)</w:t>
      </w:r>
      <w:r w:rsidR="00F606DD">
        <w:t xml:space="preserve"> for the number of days stated</w:t>
      </w:r>
      <w:r w:rsidR="00120975">
        <w:t xml:space="preserve">. The average </w:t>
      </w:r>
      <w:r w:rsidR="00CD427A">
        <w:t>cost across the team (</w:t>
      </w:r>
      <w:r w:rsidR="00646518">
        <w:t xml:space="preserve">total overall cost </w:t>
      </w:r>
      <w:r w:rsidR="003745DC">
        <w:t>÷</w:t>
      </w:r>
      <w:r w:rsidR="00CE1890">
        <w:t xml:space="preserve"> number of members</w:t>
      </w:r>
      <w:r w:rsidR="00800FE3">
        <w:t xml:space="preserve"> in the team) will be used to score the commercial criteria</w:t>
      </w:r>
      <w:r w:rsidR="00263FE0">
        <w:t xml:space="preserve">, with the lowest amount scoring the </w:t>
      </w:r>
      <w:r w:rsidR="008711BE">
        <w:t>highest mark (weighted maximum 10%).</w:t>
      </w:r>
    </w:p>
    <w:tbl>
      <w:tblPr>
        <w:tblStyle w:val="TableGrid"/>
        <w:tblW w:w="8642" w:type="dxa"/>
        <w:tblLook w:val="04A0" w:firstRow="1" w:lastRow="0" w:firstColumn="1" w:lastColumn="0" w:noHBand="0" w:noVBand="1"/>
      </w:tblPr>
      <w:tblGrid>
        <w:gridCol w:w="1980"/>
        <w:gridCol w:w="4536"/>
        <w:gridCol w:w="992"/>
        <w:gridCol w:w="1134"/>
      </w:tblGrid>
      <w:tr w:rsidR="004D77CC" w14:paraId="1C52B362" w14:textId="77777777" w:rsidTr="00B90389">
        <w:tc>
          <w:tcPr>
            <w:tcW w:w="1980" w:type="dxa"/>
            <w:vAlign w:val="center"/>
          </w:tcPr>
          <w:p w14:paraId="6C3D7651" w14:textId="294F2A01" w:rsidR="004D77CC" w:rsidRPr="00E27627" w:rsidRDefault="00AF389C" w:rsidP="00F42C15">
            <w:pPr>
              <w:pStyle w:val="Level2"/>
              <w:numPr>
                <w:ilvl w:val="0"/>
                <w:numId w:val="0"/>
              </w:numPr>
              <w:jc w:val="left"/>
              <w:rPr>
                <w:b/>
                <w:bCs/>
              </w:rPr>
            </w:pPr>
            <w:r w:rsidRPr="00E27627">
              <w:rPr>
                <w:b/>
                <w:bCs/>
              </w:rPr>
              <w:t>Role</w:t>
            </w:r>
          </w:p>
        </w:tc>
        <w:tc>
          <w:tcPr>
            <w:tcW w:w="4536" w:type="dxa"/>
            <w:vAlign w:val="center"/>
          </w:tcPr>
          <w:p w14:paraId="404C4678" w14:textId="14839357" w:rsidR="00D50406" w:rsidRDefault="00D50406" w:rsidP="00644E9B">
            <w:pPr>
              <w:pStyle w:val="Level2"/>
              <w:numPr>
                <w:ilvl w:val="0"/>
                <w:numId w:val="0"/>
              </w:numPr>
              <w:jc w:val="left"/>
              <w:rPr>
                <w:b/>
                <w:bCs/>
              </w:rPr>
            </w:pPr>
            <w:r>
              <w:rPr>
                <w:b/>
                <w:bCs/>
              </w:rPr>
              <w:t>Scope</w:t>
            </w:r>
          </w:p>
        </w:tc>
        <w:tc>
          <w:tcPr>
            <w:tcW w:w="992" w:type="dxa"/>
            <w:vAlign w:val="center"/>
          </w:tcPr>
          <w:p w14:paraId="0CF0F92A" w14:textId="57C51F3D" w:rsidR="004D77CC" w:rsidRPr="00E27627" w:rsidRDefault="00925357" w:rsidP="00F42C15">
            <w:pPr>
              <w:pStyle w:val="Level2"/>
              <w:numPr>
                <w:ilvl w:val="0"/>
                <w:numId w:val="0"/>
              </w:numPr>
              <w:jc w:val="left"/>
              <w:rPr>
                <w:b/>
                <w:bCs/>
              </w:rPr>
            </w:pPr>
            <w:r w:rsidRPr="00E27627">
              <w:rPr>
                <w:b/>
                <w:bCs/>
              </w:rPr>
              <w:t>No. of days</w:t>
            </w:r>
          </w:p>
        </w:tc>
        <w:tc>
          <w:tcPr>
            <w:tcW w:w="1134" w:type="dxa"/>
            <w:vAlign w:val="center"/>
          </w:tcPr>
          <w:p w14:paraId="13937DED" w14:textId="791EF2DC" w:rsidR="004D77CC" w:rsidRPr="00E27627" w:rsidRDefault="00C16D66" w:rsidP="00F42C15">
            <w:pPr>
              <w:pStyle w:val="Level2"/>
              <w:numPr>
                <w:ilvl w:val="0"/>
                <w:numId w:val="0"/>
              </w:numPr>
              <w:jc w:val="left"/>
              <w:rPr>
                <w:b/>
                <w:bCs/>
              </w:rPr>
            </w:pPr>
            <w:r w:rsidRPr="00E27627">
              <w:rPr>
                <w:b/>
                <w:bCs/>
              </w:rPr>
              <w:t xml:space="preserve">Total </w:t>
            </w:r>
            <w:r w:rsidR="006D7560" w:rsidRPr="00E27627">
              <w:rPr>
                <w:b/>
                <w:bCs/>
              </w:rPr>
              <w:t>(£)</w:t>
            </w:r>
          </w:p>
        </w:tc>
      </w:tr>
      <w:tr w:rsidR="004D77CC" w14:paraId="21F7B554" w14:textId="77777777" w:rsidTr="00B90389">
        <w:tc>
          <w:tcPr>
            <w:tcW w:w="1980" w:type="dxa"/>
            <w:vAlign w:val="center"/>
          </w:tcPr>
          <w:p w14:paraId="2BB8789D" w14:textId="59D37B25" w:rsidR="004D77CC" w:rsidRDefault="00AE57F5" w:rsidP="00F42C15">
            <w:pPr>
              <w:pStyle w:val="Level2"/>
              <w:numPr>
                <w:ilvl w:val="0"/>
                <w:numId w:val="0"/>
              </w:numPr>
              <w:jc w:val="left"/>
            </w:pPr>
            <w:r>
              <w:t>Director / Principle Investigator</w:t>
            </w:r>
          </w:p>
        </w:tc>
        <w:tc>
          <w:tcPr>
            <w:tcW w:w="4536" w:type="dxa"/>
          </w:tcPr>
          <w:p w14:paraId="762DA306" w14:textId="328290F9" w:rsidR="00D50406" w:rsidRDefault="00D50406" w:rsidP="00F42C15">
            <w:pPr>
              <w:pStyle w:val="Level2"/>
              <w:numPr>
                <w:ilvl w:val="0"/>
                <w:numId w:val="0"/>
              </w:numPr>
              <w:jc w:val="left"/>
            </w:pPr>
            <w:r>
              <w:t xml:space="preserve">Provides strategic leadership and oversight </w:t>
            </w:r>
            <w:r w:rsidR="00243E24">
              <w:t>of the project</w:t>
            </w:r>
            <w:r w:rsidR="001C2B38">
              <w:t xml:space="preserve"> and </w:t>
            </w:r>
            <w:r w:rsidR="008041B9">
              <w:t>quality assurance. Representative at high level</w:t>
            </w:r>
            <w:r w:rsidR="005741E2">
              <w:t>.</w:t>
            </w:r>
          </w:p>
        </w:tc>
        <w:tc>
          <w:tcPr>
            <w:tcW w:w="992" w:type="dxa"/>
            <w:vAlign w:val="center"/>
          </w:tcPr>
          <w:p w14:paraId="5EF7F9D9" w14:textId="76CB73FD" w:rsidR="004D77CC" w:rsidRDefault="00C16D66" w:rsidP="00F42C15">
            <w:pPr>
              <w:pStyle w:val="Level2"/>
              <w:numPr>
                <w:ilvl w:val="0"/>
                <w:numId w:val="0"/>
              </w:numPr>
              <w:jc w:val="left"/>
            </w:pPr>
            <w:r>
              <w:t>20</w:t>
            </w:r>
          </w:p>
        </w:tc>
        <w:tc>
          <w:tcPr>
            <w:tcW w:w="1134" w:type="dxa"/>
            <w:vAlign w:val="center"/>
          </w:tcPr>
          <w:p w14:paraId="6A38D95D" w14:textId="4548C8C7" w:rsidR="004D77CC" w:rsidRPr="008633DA" w:rsidRDefault="004D77CC" w:rsidP="00F42C15">
            <w:pPr>
              <w:pStyle w:val="Level2"/>
              <w:numPr>
                <w:ilvl w:val="0"/>
                <w:numId w:val="0"/>
              </w:numPr>
              <w:jc w:val="left"/>
              <w:rPr>
                <w:highlight w:val="yellow"/>
              </w:rPr>
            </w:pPr>
          </w:p>
        </w:tc>
      </w:tr>
      <w:tr w:rsidR="004D77CC" w14:paraId="78AE1820" w14:textId="77777777" w:rsidTr="00B90389">
        <w:tc>
          <w:tcPr>
            <w:tcW w:w="1980" w:type="dxa"/>
            <w:vAlign w:val="center"/>
          </w:tcPr>
          <w:p w14:paraId="36F42A9D" w14:textId="351BEE06" w:rsidR="004D77CC" w:rsidRDefault="00260904" w:rsidP="00F42C15">
            <w:pPr>
              <w:pStyle w:val="Level2"/>
              <w:numPr>
                <w:ilvl w:val="0"/>
                <w:numId w:val="0"/>
              </w:numPr>
              <w:jc w:val="left"/>
            </w:pPr>
            <w:r w:rsidRPr="00260904">
              <w:t>Senior Evaluation Lead</w:t>
            </w:r>
          </w:p>
        </w:tc>
        <w:tc>
          <w:tcPr>
            <w:tcW w:w="4536" w:type="dxa"/>
          </w:tcPr>
          <w:p w14:paraId="7B792318" w14:textId="661A630C" w:rsidR="005741E2" w:rsidRDefault="005741E2" w:rsidP="00F42C15">
            <w:pPr>
              <w:pStyle w:val="Level2"/>
              <w:numPr>
                <w:ilvl w:val="0"/>
                <w:numId w:val="0"/>
              </w:numPr>
              <w:jc w:val="left"/>
            </w:pPr>
            <w:r>
              <w:t>Leads</w:t>
            </w:r>
            <w:r w:rsidR="00D17C5F">
              <w:t xml:space="preserve"> on the development of evaluation frameworks</w:t>
            </w:r>
            <w:r w:rsidR="00D32746">
              <w:t>; designs and oversees the methodology</w:t>
            </w:r>
            <w:r w:rsidR="006524F3">
              <w:t>. Main ‘owner’ of the project.</w:t>
            </w:r>
          </w:p>
        </w:tc>
        <w:tc>
          <w:tcPr>
            <w:tcW w:w="992" w:type="dxa"/>
            <w:vAlign w:val="center"/>
          </w:tcPr>
          <w:p w14:paraId="50138D5E" w14:textId="3095BCCF" w:rsidR="004D77CC" w:rsidRDefault="00C16D66" w:rsidP="00F42C15">
            <w:pPr>
              <w:pStyle w:val="Level2"/>
              <w:numPr>
                <w:ilvl w:val="0"/>
                <w:numId w:val="0"/>
              </w:numPr>
              <w:jc w:val="left"/>
            </w:pPr>
            <w:r>
              <w:t>60</w:t>
            </w:r>
          </w:p>
        </w:tc>
        <w:tc>
          <w:tcPr>
            <w:tcW w:w="1134" w:type="dxa"/>
            <w:vAlign w:val="center"/>
          </w:tcPr>
          <w:p w14:paraId="1923422B" w14:textId="7161F53E" w:rsidR="004D77CC" w:rsidRPr="008633DA" w:rsidRDefault="004D77CC" w:rsidP="00F42C15">
            <w:pPr>
              <w:pStyle w:val="Level2"/>
              <w:numPr>
                <w:ilvl w:val="0"/>
                <w:numId w:val="0"/>
              </w:numPr>
              <w:jc w:val="left"/>
              <w:rPr>
                <w:highlight w:val="yellow"/>
              </w:rPr>
            </w:pPr>
          </w:p>
        </w:tc>
      </w:tr>
      <w:tr w:rsidR="004D77CC" w14:paraId="0276EDB0" w14:textId="77777777" w:rsidTr="00B90389">
        <w:tc>
          <w:tcPr>
            <w:tcW w:w="1980" w:type="dxa"/>
            <w:vAlign w:val="center"/>
          </w:tcPr>
          <w:p w14:paraId="49E07FC8" w14:textId="27D41DC5" w:rsidR="004D77CC" w:rsidRDefault="00260904" w:rsidP="00F42C15">
            <w:pPr>
              <w:pStyle w:val="Level2"/>
              <w:numPr>
                <w:ilvl w:val="0"/>
                <w:numId w:val="0"/>
              </w:numPr>
              <w:jc w:val="left"/>
            </w:pPr>
            <w:r w:rsidRPr="00260904">
              <w:t>Researcher / Analyst</w:t>
            </w:r>
          </w:p>
        </w:tc>
        <w:tc>
          <w:tcPr>
            <w:tcW w:w="4536" w:type="dxa"/>
          </w:tcPr>
          <w:p w14:paraId="463B2A9E" w14:textId="6B17CE23" w:rsidR="00F00FD1" w:rsidRPr="00F00FD1" w:rsidRDefault="00F00FD1" w:rsidP="00F42C15">
            <w:pPr>
              <w:pStyle w:val="Level2"/>
              <w:numPr>
                <w:ilvl w:val="0"/>
                <w:numId w:val="0"/>
              </w:numPr>
              <w:jc w:val="left"/>
            </w:pPr>
            <w:r w:rsidRPr="00F00FD1">
              <w:t>Core delivery role responsible for implementing data collection and analysis tasks.</w:t>
            </w:r>
            <w:r w:rsidR="00340E28">
              <w:t xml:space="preserve"> </w:t>
            </w:r>
            <w:r w:rsidR="007225CB">
              <w:t>May be junior or mid-level.</w:t>
            </w:r>
          </w:p>
        </w:tc>
        <w:tc>
          <w:tcPr>
            <w:tcW w:w="992" w:type="dxa"/>
            <w:vAlign w:val="center"/>
          </w:tcPr>
          <w:p w14:paraId="4492F4BF" w14:textId="7CCFAD60" w:rsidR="004D77CC" w:rsidRDefault="00C16D66" w:rsidP="00F42C15">
            <w:pPr>
              <w:pStyle w:val="Level2"/>
              <w:numPr>
                <w:ilvl w:val="0"/>
                <w:numId w:val="0"/>
              </w:numPr>
              <w:jc w:val="left"/>
            </w:pPr>
            <w:r>
              <w:t>120</w:t>
            </w:r>
          </w:p>
        </w:tc>
        <w:tc>
          <w:tcPr>
            <w:tcW w:w="1134" w:type="dxa"/>
            <w:vAlign w:val="center"/>
          </w:tcPr>
          <w:p w14:paraId="54C41C1A" w14:textId="560A4AE7" w:rsidR="004D77CC" w:rsidRPr="008633DA" w:rsidRDefault="004D77CC" w:rsidP="00F42C15">
            <w:pPr>
              <w:pStyle w:val="Level2"/>
              <w:numPr>
                <w:ilvl w:val="0"/>
                <w:numId w:val="0"/>
              </w:numPr>
              <w:jc w:val="left"/>
              <w:rPr>
                <w:highlight w:val="yellow"/>
              </w:rPr>
            </w:pPr>
          </w:p>
        </w:tc>
      </w:tr>
      <w:tr w:rsidR="004D77CC" w14:paraId="39422867" w14:textId="77777777" w:rsidTr="00B90389">
        <w:tc>
          <w:tcPr>
            <w:tcW w:w="1980" w:type="dxa"/>
            <w:vAlign w:val="center"/>
          </w:tcPr>
          <w:p w14:paraId="27891D0E" w14:textId="7B649717" w:rsidR="004D77CC" w:rsidRDefault="00260904" w:rsidP="00F42C15">
            <w:pPr>
              <w:pStyle w:val="Level2"/>
              <w:numPr>
                <w:ilvl w:val="0"/>
                <w:numId w:val="0"/>
              </w:numPr>
              <w:jc w:val="left"/>
            </w:pPr>
            <w:r w:rsidRPr="00260904">
              <w:t>Statistician / Data Scientist</w:t>
            </w:r>
          </w:p>
        </w:tc>
        <w:tc>
          <w:tcPr>
            <w:tcW w:w="4536" w:type="dxa"/>
          </w:tcPr>
          <w:p w14:paraId="36910275" w14:textId="21ABDC28" w:rsidR="00D9422F" w:rsidRPr="00D9422F" w:rsidRDefault="00D9422F" w:rsidP="00F42C15">
            <w:pPr>
              <w:pStyle w:val="Level2"/>
              <w:numPr>
                <w:ilvl w:val="0"/>
                <w:numId w:val="0"/>
              </w:numPr>
              <w:jc w:val="left"/>
            </w:pPr>
            <w:r w:rsidRPr="00D9422F">
              <w:t>Specialist role providing advanced quantitative design and analysis expertise</w:t>
            </w:r>
            <w:r>
              <w:t xml:space="preserve"> where needed.</w:t>
            </w:r>
          </w:p>
        </w:tc>
        <w:tc>
          <w:tcPr>
            <w:tcW w:w="992" w:type="dxa"/>
            <w:vAlign w:val="center"/>
          </w:tcPr>
          <w:p w14:paraId="522C6AB1" w14:textId="4CD8DC87" w:rsidR="004D77CC" w:rsidRDefault="006D7560" w:rsidP="00F42C15">
            <w:pPr>
              <w:pStyle w:val="Level2"/>
              <w:numPr>
                <w:ilvl w:val="0"/>
                <w:numId w:val="0"/>
              </w:numPr>
              <w:jc w:val="left"/>
            </w:pPr>
            <w:r>
              <w:t>30</w:t>
            </w:r>
          </w:p>
        </w:tc>
        <w:tc>
          <w:tcPr>
            <w:tcW w:w="1134" w:type="dxa"/>
            <w:vAlign w:val="center"/>
          </w:tcPr>
          <w:p w14:paraId="0D05F985" w14:textId="63E851AA" w:rsidR="004D77CC" w:rsidRPr="008633DA" w:rsidRDefault="004D77CC" w:rsidP="00F42C15">
            <w:pPr>
              <w:pStyle w:val="Level2"/>
              <w:numPr>
                <w:ilvl w:val="0"/>
                <w:numId w:val="0"/>
              </w:numPr>
              <w:jc w:val="left"/>
              <w:rPr>
                <w:highlight w:val="yellow"/>
              </w:rPr>
            </w:pPr>
          </w:p>
        </w:tc>
      </w:tr>
      <w:tr w:rsidR="004D77CC" w14:paraId="52FA4B24" w14:textId="77777777" w:rsidTr="00B90389">
        <w:tc>
          <w:tcPr>
            <w:tcW w:w="1980" w:type="dxa"/>
            <w:vAlign w:val="center"/>
          </w:tcPr>
          <w:p w14:paraId="3A14BD07" w14:textId="5BC1363C" w:rsidR="004D77CC" w:rsidRDefault="00B4350A" w:rsidP="00F42C15">
            <w:pPr>
              <w:pStyle w:val="Level2"/>
              <w:numPr>
                <w:ilvl w:val="0"/>
                <w:numId w:val="0"/>
              </w:numPr>
              <w:jc w:val="left"/>
            </w:pPr>
            <w:r w:rsidRPr="00B4350A">
              <w:t>Qualitative Researcher / Fieldworker</w:t>
            </w:r>
          </w:p>
        </w:tc>
        <w:tc>
          <w:tcPr>
            <w:tcW w:w="4536" w:type="dxa"/>
          </w:tcPr>
          <w:p w14:paraId="4C885FB2" w14:textId="45CA85DD" w:rsidR="004B1A3C" w:rsidRPr="004B1A3C" w:rsidRDefault="004B1A3C" w:rsidP="00F42C15">
            <w:pPr>
              <w:pStyle w:val="Level2"/>
              <w:numPr>
                <w:ilvl w:val="0"/>
                <w:numId w:val="0"/>
              </w:numPr>
              <w:jc w:val="left"/>
            </w:pPr>
            <w:r w:rsidRPr="004B1A3C">
              <w:t>Specialist in qualitative and field-based data collection and analysis.</w:t>
            </w:r>
            <w:r w:rsidR="00F81307">
              <w:t xml:space="preserve"> (This role may perform</w:t>
            </w:r>
            <w:r w:rsidR="00832646">
              <w:t xml:space="preserve"> a similar role to a</w:t>
            </w:r>
            <w:r w:rsidR="00A56EFB">
              <w:t xml:space="preserve"> Researcher / Analyst</w:t>
            </w:r>
            <w:r w:rsidR="00585443">
              <w:t>)</w:t>
            </w:r>
          </w:p>
        </w:tc>
        <w:tc>
          <w:tcPr>
            <w:tcW w:w="992" w:type="dxa"/>
            <w:vAlign w:val="center"/>
          </w:tcPr>
          <w:p w14:paraId="48A48591" w14:textId="473B646C" w:rsidR="004D77CC" w:rsidRDefault="006D7560" w:rsidP="00F42C15">
            <w:pPr>
              <w:pStyle w:val="Level2"/>
              <w:numPr>
                <w:ilvl w:val="0"/>
                <w:numId w:val="0"/>
              </w:numPr>
              <w:jc w:val="left"/>
            </w:pPr>
            <w:r>
              <w:t>60</w:t>
            </w:r>
          </w:p>
        </w:tc>
        <w:tc>
          <w:tcPr>
            <w:tcW w:w="1134" w:type="dxa"/>
            <w:vAlign w:val="center"/>
          </w:tcPr>
          <w:p w14:paraId="6AA4E536" w14:textId="6291C71D" w:rsidR="004D77CC" w:rsidRPr="008633DA" w:rsidRDefault="004D77CC" w:rsidP="00F42C15">
            <w:pPr>
              <w:pStyle w:val="Level2"/>
              <w:numPr>
                <w:ilvl w:val="0"/>
                <w:numId w:val="0"/>
              </w:numPr>
              <w:jc w:val="left"/>
              <w:rPr>
                <w:highlight w:val="yellow"/>
              </w:rPr>
            </w:pPr>
          </w:p>
        </w:tc>
      </w:tr>
      <w:tr w:rsidR="004D77CC" w14:paraId="4B497FE0" w14:textId="77777777" w:rsidTr="00B90389">
        <w:tc>
          <w:tcPr>
            <w:tcW w:w="1980" w:type="dxa"/>
            <w:vAlign w:val="center"/>
          </w:tcPr>
          <w:p w14:paraId="6B42AFA7" w14:textId="6AB53642" w:rsidR="004D77CC" w:rsidRDefault="00B4350A" w:rsidP="00F42C15">
            <w:pPr>
              <w:pStyle w:val="Level2"/>
              <w:numPr>
                <w:ilvl w:val="0"/>
                <w:numId w:val="0"/>
              </w:numPr>
              <w:jc w:val="left"/>
            </w:pPr>
            <w:r w:rsidRPr="00B4350A">
              <w:t>Project Manager</w:t>
            </w:r>
          </w:p>
        </w:tc>
        <w:tc>
          <w:tcPr>
            <w:tcW w:w="4536" w:type="dxa"/>
          </w:tcPr>
          <w:p w14:paraId="54F86233" w14:textId="40B0A7E7" w:rsidR="00417BEC" w:rsidRDefault="00417BEC" w:rsidP="00F42C15">
            <w:pPr>
              <w:pStyle w:val="Level2"/>
              <w:numPr>
                <w:ilvl w:val="0"/>
                <w:numId w:val="0"/>
              </w:numPr>
              <w:jc w:val="left"/>
            </w:pPr>
            <w:r>
              <w:t>P</w:t>
            </w:r>
            <w:r w:rsidRPr="00417BEC">
              <w:t>lanning, coordination, logistics and delivery oversight</w:t>
            </w:r>
            <w:r>
              <w:t>. Maintains projects plans</w:t>
            </w:r>
            <w:r w:rsidR="00DD3ADB">
              <w:t>, coordinates meetings</w:t>
            </w:r>
            <w:r w:rsidR="00E615CA">
              <w:t>, provides progress reports.</w:t>
            </w:r>
          </w:p>
        </w:tc>
        <w:tc>
          <w:tcPr>
            <w:tcW w:w="992" w:type="dxa"/>
            <w:vAlign w:val="center"/>
          </w:tcPr>
          <w:p w14:paraId="78597D05" w14:textId="6BA5DC11" w:rsidR="004D77CC" w:rsidRDefault="006D7560" w:rsidP="00F42C15">
            <w:pPr>
              <w:pStyle w:val="Level2"/>
              <w:numPr>
                <w:ilvl w:val="0"/>
                <w:numId w:val="0"/>
              </w:numPr>
              <w:jc w:val="left"/>
            </w:pPr>
            <w:r>
              <w:t>40</w:t>
            </w:r>
          </w:p>
        </w:tc>
        <w:tc>
          <w:tcPr>
            <w:tcW w:w="1134" w:type="dxa"/>
            <w:vAlign w:val="center"/>
          </w:tcPr>
          <w:p w14:paraId="1C1E23A0" w14:textId="0D909402" w:rsidR="004D77CC" w:rsidRPr="008633DA" w:rsidRDefault="004D77CC" w:rsidP="00F42C15">
            <w:pPr>
              <w:pStyle w:val="Level2"/>
              <w:numPr>
                <w:ilvl w:val="0"/>
                <w:numId w:val="0"/>
              </w:numPr>
              <w:jc w:val="left"/>
              <w:rPr>
                <w:highlight w:val="yellow"/>
              </w:rPr>
            </w:pPr>
          </w:p>
        </w:tc>
      </w:tr>
      <w:tr w:rsidR="004D77CC" w14:paraId="5BABA0BD" w14:textId="77777777" w:rsidTr="00B90389">
        <w:tc>
          <w:tcPr>
            <w:tcW w:w="1980" w:type="dxa"/>
            <w:vAlign w:val="center"/>
          </w:tcPr>
          <w:p w14:paraId="5DBB8A8B" w14:textId="1D67623B" w:rsidR="004D77CC" w:rsidRDefault="006C488B" w:rsidP="00F42C15">
            <w:pPr>
              <w:pStyle w:val="Level2"/>
              <w:numPr>
                <w:ilvl w:val="0"/>
                <w:numId w:val="0"/>
              </w:numPr>
              <w:jc w:val="left"/>
            </w:pPr>
            <w:r w:rsidRPr="006C488B">
              <w:t>Administrative / Support</w:t>
            </w:r>
          </w:p>
        </w:tc>
        <w:tc>
          <w:tcPr>
            <w:tcW w:w="4536" w:type="dxa"/>
          </w:tcPr>
          <w:p w14:paraId="2590E7DF" w14:textId="477E155F" w:rsidR="00756889" w:rsidRPr="00756889" w:rsidRDefault="00756889" w:rsidP="00F42C15">
            <w:pPr>
              <w:pStyle w:val="Level2"/>
              <w:numPr>
                <w:ilvl w:val="0"/>
                <w:numId w:val="0"/>
              </w:numPr>
              <w:jc w:val="left"/>
            </w:pPr>
            <w:r w:rsidRPr="00756889">
              <w:t>Support role providing administrative, clerical and operational assistance to the project team.</w:t>
            </w:r>
          </w:p>
        </w:tc>
        <w:tc>
          <w:tcPr>
            <w:tcW w:w="992" w:type="dxa"/>
            <w:vAlign w:val="center"/>
          </w:tcPr>
          <w:p w14:paraId="7EBECBFC" w14:textId="7F100B5D" w:rsidR="004D77CC" w:rsidRDefault="006D7560" w:rsidP="00F42C15">
            <w:pPr>
              <w:pStyle w:val="Level2"/>
              <w:numPr>
                <w:ilvl w:val="0"/>
                <w:numId w:val="0"/>
              </w:numPr>
              <w:jc w:val="left"/>
            </w:pPr>
            <w:r>
              <w:t>40</w:t>
            </w:r>
          </w:p>
        </w:tc>
        <w:tc>
          <w:tcPr>
            <w:tcW w:w="1134" w:type="dxa"/>
            <w:vAlign w:val="center"/>
          </w:tcPr>
          <w:p w14:paraId="78A48C69" w14:textId="7E8AB67D" w:rsidR="004D77CC" w:rsidRPr="008633DA" w:rsidRDefault="004D77CC" w:rsidP="00F42C15">
            <w:pPr>
              <w:pStyle w:val="Level2"/>
              <w:numPr>
                <w:ilvl w:val="0"/>
                <w:numId w:val="0"/>
              </w:numPr>
              <w:jc w:val="left"/>
              <w:rPr>
                <w:highlight w:val="yellow"/>
              </w:rPr>
            </w:pPr>
          </w:p>
        </w:tc>
      </w:tr>
      <w:tr w:rsidR="004D77CC" w14:paraId="7B0207E3" w14:textId="77777777" w:rsidTr="00B90389">
        <w:tc>
          <w:tcPr>
            <w:tcW w:w="1980" w:type="dxa"/>
            <w:vAlign w:val="center"/>
          </w:tcPr>
          <w:p w14:paraId="62425198" w14:textId="0C0C3ED5" w:rsidR="004D77CC" w:rsidRPr="00547DAA" w:rsidRDefault="009A421C" w:rsidP="00F42C15">
            <w:pPr>
              <w:pStyle w:val="Level2"/>
              <w:numPr>
                <w:ilvl w:val="0"/>
                <w:numId w:val="0"/>
              </w:numPr>
              <w:jc w:val="left"/>
              <w:rPr>
                <w:i/>
              </w:rPr>
            </w:pPr>
            <w:r w:rsidRPr="00547DAA">
              <w:rPr>
                <w:i/>
              </w:rPr>
              <w:t>Total</w:t>
            </w:r>
            <w:r w:rsidR="00547DAA" w:rsidRPr="00547DAA">
              <w:rPr>
                <w:i/>
                <w:iCs/>
              </w:rPr>
              <w:t xml:space="preserve"> cost (£)</w:t>
            </w:r>
          </w:p>
        </w:tc>
        <w:tc>
          <w:tcPr>
            <w:tcW w:w="4536" w:type="dxa"/>
          </w:tcPr>
          <w:p w14:paraId="3C3F4A32" w14:textId="77777777" w:rsidR="00644E9B" w:rsidRPr="00547DAA" w:rsidRDefault="00644E9B" w:rsidP="00F42C15">
            <w:pPr>
              <w:pStyle w:val="Level2"/>
              <w:numPr>
                <w:ilvl w:val="0"/>
                <w:numId w:val="0"/>
              </w:numPr>
              <w:jc w:val="left"/>
              <w:rPr>
                <w:i/>
                <w:iCs/>
              </w:rPr>
            </w:pPr>
          </w:p>
        </w:tc>
        <w:tc>
          <w:tcPr>
            <w:tcW w:w="992" w:type="dxa"/>
            <w:vAlign w:val="center"/>
          </w:tcPr>
          <w:p w14:paraId="25411361" w14:textId="69ECCB47" w:rsidR="004D77CC" w:rsidRPr="00547DAA" w:rsidRDefault="004D77CC" w:rsidP="00F42C15">
            <w:pPr>
              <w:pStyle w:val="Level2"/>
              <w:numPr>
                <w:ilvl w:val="0"/>
                <w:numId w:val="0"/>
              </w:numPr>
              <w:jc w:val="left"/>
              <w:rPr>
                <w:i/>
              </w:rPr>
            </w:pPr>
          </w:p>
        </w:tc>
        <w:tc>
          <w:tcPr>
            <w:tcW w:w="1134" w:type="dxa"/>
            <w:vAlign w:val="center"/>
          </w:tcPr>
          <w:p w14:paraId="4C913DF0" w14:textId="2A87C83B" w:rsidR="004D77CC" w:rsidRPr="00547DAA" w:rsidRDefault="004D77CC" w:rsidP="00F42C15">
            <w:pPr>
              <w:pStyle w:val="Level2"/>
              <w:numPr>
                <w:ilvl w:val="0"/>
                <w:numId w:val="0"/>
              </w:numPr>
              <w:jc w:val="left"/>
              <w:rPr>
                <w:i/>
                <w:highlight w:val="yellow"/>
              </w:rPr>
            </w:pPr>
          </w:p>
        </w:tc>
      </w:tr>
      <w:tr w:rsidR="00AF389C" w14:paraId="488B6502" w14:textId="77777777" w:rsidTr="00B90389">
        <w:tc>
          <w:tcPr>
            <w:tcW w:w="1980" w:type="dxa"/>
            <w:vAlign w:val="center"/>
          </w:tcPr>
          <w:p w14:paraId="4C350577" w14:textId="64A0E2BB" w:rsidR="00AF389C" w:rsidRPr="002F06D8" w:rsidRDefault="009A421C" w:rsidP="00F42C15">
            <w:pPr>
              <w:pStyle w:val="Level2"/>
              <w:numPr>
                <w:ilvl w:val="0"/>
                <w:numId w:val="0"/>
              </w:numPr>
              <w:jc w:val="left"/>
              <w:rPr>
                <w:b/>
              </w:rPr>
            </w:pPr>
            <w:r w:rsidRPr="002F06D8">
              <w:rPr>
                <w:b/>
              </w:rPr>
              <w:t>Average</w:t>
            </w:r>
            <w:r w:rsidR="006B7F9C">
              <w:rPr>
                <w:b/>
                <w:bCs/>
              </w:rPr>
              <w:t xml:space="preserve"> (£)</w:t>
            </w:r>
          </w:p>
        </w:tc>
        <w:tc>
          <w:tcPr>
            <w:tcW w:w="4536" w:type="dxa"/>
          </w:tcPr>
          <w:p w14:paraId="065242BF" w14:textId="77777777" w:rsidR="00644E9B" w:rsidRPr="002F06D8" w:rsidRDefault="00644E9B" w:rsidP="00F42C15">
            <w:pPr>
              <w:pStyle w:val="Level2"/>
              <w:numPr>
                <w:ilvl w:val="0"/>
                <w:numId w:val="0"/>
              </w:numPr>
              <w:jc w:val="left"/>
              <w:rPr>
                <w:b/>
                <w:bCs/>
              </w:rPr>
            </w:pPr>
          </w:p>
        </w:tc>
        <w:tc>
          <w:tcPr>
            <w:tcW w:w="992" w:type="dxa"/>
            <w:vAlign w:val="center"/>
          </w:tcPr>
          <w:p w14:paraId="291F8012" w14:textId="5142AF77" w:rsidR="00AF389C" w:rsidRPr="002F06D8" w:rsidRDefault="00AF389C" w:rsidP="00F42C15">
            <w:pPr>
              <w:pStyle w:val="Level2"/>
              <w:numPr>
                <w:ilvl w:val="0"/>
                <w:numId w:val="0"/>
              </w:numPr>
              <w:jc w:val="left"/>
              <w:rPr>
                <w:b/>
              </w:rPr>
            </w:pPr>
          </w:p>
        </w:tc>
        <w:tc>
          <w:tcPr>
            <w:tcW w:w="1134" w:type="dxa"/>
            <w:vAlign w:val="center"/>
          </w:tcPr>
          <w:p w14:paraId="38810436" w14:textId="5732FFFE" w:rsidR="00AF389C" w:rsidRPr="002F06D8" w:rsidRDefault="00AF389C" w:rsidP="00F42C15">
            <w:pPr>
              <w:pStyle w:val="Level2"/>
              <w:numPr>
                <w:ilvl w:val="0"/>
                <w:numId w:val="0"/>
              </w:numPr>
              <w:jc w:val="left"/>
              <w:rPr>
                <w:b/>
                <w:highlight w:val="yellow"/>
              </w:rPr>
            </w:pPr>
          </w:p>
        </w:tc>
      </w:tr>
    </w:tbl>
    <w:p w14:paraId="24BF5921" w14:textId="77777777" w:rsidR="00CC0C44" w:rsidRDefault="00CC0C44" w:rsidP="00F44196">
      <w:pPr>
        <w:pStyle w:val="Level2"/>
        <w:numPr>
          <w:ilvl w:val="0"/>
          <w:numId w:val="0"/>
        </w:numPr>
      </w:pPr>
    </w:p>
    <w:p w14:paraId="77BA515C" w14:textId="77777777" w:rsidR="001608BF" w:rsidRDefault="001608BF" w:rsidP="00F44196">
      <w:pPr>
        <w:pStyle w:val="Level2"/>
        <w:numPr>
          <w:ilvl w:val="0"/>
          <w:numId w:val="0"/>
        </w:numPr>
      </w:pPr>
    </w:p>
    <w:p w14:paraId="6CD04F7E" w14:textId="77777777" w:rsidR="00803444" w:rsidRPr="00A86070" w:rsidRDefault="00803444" w:rsidP="00F44196">
      <w:pPr>
        <w:pStyle w:val="Level2"/>
        <w:numPr>
          <w:ilvl w:val="0"/>
          <w:numId w:val="0"/>
        </w:numPr>
      </w:pPr>
    </w:p>
    <w:sectPr w:rsidR="00803444" w:rsidRPr="00A86070" w:rsidSect="00A86070">
      <w:headerReference w:type="even" r:id="rId14"/>
      <w:headerReference w:type="default" r:id="rId15"/>
      <w:footerReference w:type="even" r:id="rId16"/>
      <w:footerReference w:type="default" r:id="rId17"/>
      <w:headerReference w:type="first" r:id="rId18"/>
      <w:footerReference w:type="first" r:id="rId19"/>
      <w:pgSz w:w="11906" w:h="16838"/>
      <w:pgMar w:top="1440" w:right="1699" w:bottom="1440" w:left="1699" w:header="720" w:footer="720" w:gutter="0"/>
      <w:paperSrc w:first="264" w:other="264"/>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3573" w14:textId="77777777" w:rsidR="000447B1" w:rsidRDefault="000447B1" w:rsidP="00CD40F6">
      <w:r>
        <w:separator/>
      </w:r>
    </w:p>
  </w:endnote>
  <w:endnote w:type="continuationSeparator" w:id="0">
    <w:p w14:paraId="5A106504" w14:textId="77777777" w:rsidR="000447B1" w:rsidRDefault="000447B1" w:rsidP="00CD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4CE5C0917E944EB0A967E95B72D1243CDOCID_FOOTER"/>
      <w:id w:val="1515254953"/>
      <w:placeholder>
        <w:docPart w:val="22BC9014D807468F8DC7380C5ABD2032"/>
      </w:placeholder>
    </w:sdtPr>
    <w:sdtEndPr/>
    <w:sdtContent>
      <w:p w14:paraId="5FAA03FC" w14:textId="0BF9202A" w:rsidR="001B3144" w:rsidRDefault="00D14EBC" w:rsidP="005B4BFF">
        <w:pPr>
          <w:pStyle w:val="DocId"/>
        </w:pPr>
        <w:r>
          <w:t>Closed_framework</w:t>
        </w:r>
        <w:r w:rsidR="00CC3B5B">
          <w:t>_tender_Dec2025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18A3" w14:textId="77777777" w:rsidR="007B59A6" w:rsidRDefault="007B59A6">
    <w:pPr>
      <w:pStyle w:val="Footer"/>
    </w:pPr>
  </w:p>
  <w:p w14:paraId="292D795D" w14:textId="77777777" w:rsidR="00CA7561" w:rsidRDefault="00CA7561"/>
  <w:p w14:paraId="6B5A5A4C" w14:textId="77777777" w:rsidR="00CA7561" w:rsidRDefault="00CA75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CF9D" w14:textId="50F2F98A" w:rsidR="005B4BFF" w:rsidRDefault="00CC7C95" w:rsidP="005B4BFF">
    <w:pPr>
      <w:pStyle w:val="DocId"/>
    </w:pPr>
    <w:sdt>
      <w:sdtPr>
        <w:alias w:val="BHDC Content"/>
        <w:tag w:val="4CE5C0917E944EB0A967E95B72D1243CDOCID_FOOTER"/>
        <w:id w:val="1745303236"/>
        <w:placeholder>
          <w:docPart w:val="34375D7B34DB478B88A98AE72902A4E5"/>
        </w:placeholder>
        <w:showingPlcHdr/>
      </w:sdtPr>
      <w:sdtEndPr/>
      <w:sdtContent/>
    </w:sdt>
  </w:p>
  <w:p w14:paraId="71B72C47" w14:textId="025CAEE2" w:rsidR="00572FE6" w:rsidRDefault="00CC7C95" w:rsidP="00572FE6">
    <w:pPr>
      <w:pStyle w:val="Footer"/>
      <w:tabs>
        <w:tab w:val="clear" w:pos="4240"/>
        <w:tab w:val="clear" w:pos="8460"/>
      </w:tabs>
      <w:rPr>
        <w:noProof/>
      </w:rPr>
    </w:pPr>
    <w:sdt>
      <w:sdtPr>
        <w:alias w:val="BHDC Content"/>
        <w:tag w:val="A3E645089B2741C9B82BFC1807390F9F"/>
        <w:id w:val="2106615920"/>
        <w:placeholder>
          <w:docPart w:val="D102F15146DE45B5AFCAB601D529DD9A"/>
        </w:placeholder>
        <w:showingPlcHdr/>
      </w:sdtPr>
      <w:sdtEndPr/>
      <w:sdtContent/>
    </w:sdt>
    <w:r w:rsidR="00572FE6">
      <w:ptab w:relativeTo="margin" w:alignment="center" w:leader="none"/>
    </w:r>
    <w:sdt>
      <w:sdtPr>
        <w:rPr>
          <w:noProof/>
        </w:rPr>
        <w:id w:val="-374387192"/>
        <w:docPartObj>
          <w:docPartGallery w:val="Page Numbers (Bottom of Page)"/>
          <w:docPartUnique/>
        </w:docPartObj>
      </w:sdtPr>
      <w:sdtEndPr/>
      <w:sdtContent>
        <w:r w:rsidR="00572FE6">
          <w:fldChar w:fldCharType="begin"/>
        </w:r>
        <w:r w:rsidR="00572FE6">
          <w:instrText xml:space="preserve"> PAGE   \* MERGEFORMAT </w:instrText>
        </w:r>
        <w:r w:rsidR="00572FE6">
          <w:fldChar w:fldCharType="separate"/>
        </w:r>
        <w:r w:rsidR="00572FE6">
          <w:t>1</w:t>
        </w:r>
        <w:r w:rsidR="00572FE6">
          <w:rPr>
            <w:noProof/>
          </w:rPr>
          <w:fldChar w:fldCharType="end"/>
        </w:r>
      </w:sdtContent>
    </w:sdt>
    <w:r w:rsidR="00572FE6">
      <w:rPr>
        <w:noProof/>
      </w:rPr>
      <w:tab/>
    </w:r>
    <w:r w:rsidR="00572FE6">
      <w:rPr>
        <w:noProof/>
      </w:rPr>
      <w:ptab w:relativeTo="margin" w:alignment="right" w:leader="none"/>
    </w:r>
    <w:sdt>
      <w:sdtPr>
        <w:rPr>
          <w:noProof/>
        </w:rPr>
        <w:alias w:val="BHDC Content"/>
        <w:tag w:val="50F605FA825144239BED0753AD795982"/>
        <w:id w:val="-395977420"/>
        <w:placeholder>
          <w:docPart w:val="92FEE7A1962E4902837DF79379F62F7F"/>
        </w:placeholder>
      </w:sdtPr>
      <w:sdtEndPr/>
      <w:sdtContent>
        <w:sdt>
          <w:sdtPr>
            <w:alias w:val="BHDC Content"/>
            <w:tag w:val="4CE5C0917E944EB0A967E95B72D1243CDOCID_FOOTER"/>
            <w:id w:val="1710762283"/>
            <w:placeholder>
              <w:docPart w:val="947D3952847B409083CC821F5464AFA0"/>
            </w:placeholder>
          </w:sdtPr>
          <w:sdtEndPr/>
          <w:sdtContent>
            <w:r w:rsidR="00CC3B5B">
              <w:t>Closed_framework_tender_Dec2025</w:t>
            </w:r>
          </w:sdtContent>
        </w:sdt>
        <w:r w:rsidR="00CC3B5B">
          <w:t xml:space="preserve"> </w:t>
        </w:r>
      </w:sdtContent>
    </w:sdt>
  </w:p>
  <w:p w14:paraId="1B2A86AC" w14:textId="24EB5EFA" w:rsidR="00703E11" w:rsidRPr="00572FE6" w:rsidRDefault="00572FE6" w:rsidP="00572FE6">
    <w:pPr>
      <w:ind w:left="720" w:firstLine="720"/>
      <w:rPr>
        <w:sz w:val="16"/>
        <w:szCs w:val="16"/>
      </w:rPr>
    </w:pPr>
    <w:r>
      <w:rPr>
        <w:sz w:val="16"/>
        <w:szCs w:val="16"/>
      </w:rPr>
      <w:ptab w:relativeTo="margin" w:alignment="right" w:leader="none"/>
    </w:r>
    <w:sdt>
      <w:sdtPr>
        <w:rPr>
          <w:sz w:val="16"/>
          <w:szCs w:val="16"/>
        </w:rPr>
        <w:alias w:val="BHDC Content"/>
        <w:tag w:val="1F971BD156CB4EBDAF6E3247AB0A516C"/>
        <w:id w:val="-2032022878"/>
        <w:placeholder>
          <w:docPart w:val="9464A6F2F0254EB88B4005A99A6C993C"/>
        </w:placeholder>
        <w:showingPlcHdr/>
      </w:sdtPr>
      <w:sdtEndPr/>
      <w:sdtContent/>
    </w:sdt>
  </w:p>
  <w:p w14:paraId="6FF00680" w14:textId="77777777" w:rsidR="00CA7561" w:rsidRDefault="00CA7561"/>
  <w:p w14:paraId="45CD84BA" w14:textId="77777777" w:rsidR="00CA7561" w:rsidRDefault="00CA75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D912" w14:textId="158AF2D9" w:rsidR="00572FE6" w:rsidRDefault="00CC7C95" w:rsidP="00572FE6">
    <w:pPr>
      <w:pStyle w:val="Footer"/>
      <w:tabs>
        <w:tab w:val="clear" w:pos="4240"/>
        <w:tab w:val="clear" w:pos="8460"/>
      </w:tabs>
      <w:rPr>
        <w:noProof/>
      </w:rPr>
    </w:pPr>
    <w:sdt>
      <w:sdtPr>
        <w:alias w:val="BHDC Content"/>
        <w:tag w:val="A3E645089B2741C9B82BFC1807390F9F"/>
        <w:id w:val="1334492793"/>
        <w:placeholder>
          <w:docPart w:val="B315F7586D954E2689A15E0DDF85ED85"/>
        </w:placeholder>
      </w:sdtPr>
      <w:sdtEndPr/>
      <w:sdtContent>
        <w:r w:rsidR="002F5E6C">
          <w:t>WORK\75646696\v.2</w:t>
        </w:r>
      </w:sdtContent>
    </w:sdt>
    <w:r w:rsidR="00572FE6">
      <w:ptab w:relativeTo="margin" w:alignment="center" w:leader="none"/>
    </w:r>
    <w:sdt>
      <w:sdtPr>
        <w:rPr>
          <w:noProof/>
        </w:rPr>
        <w:id w:val="2127883366"/>
        <w:docPartObj>
          <w:docPartGallery w:val="Page Numbers (Bottom of Page)"/>
          <w:docPartUnique/>
        </w:docPartObj>
      </w:sdtPr>
      <w:sdtEndPr/>
      <w:sdtContent>
        <w:r w:rsidR="00572FE6">
          <w:fldChar w:fldCharType="begin"/>
        </w:r>
        <w:r w:rsidR="00572FE6">
          <w:instrText xml:space="preserve"> PAGE   \* MERGEFORMAT </w:instrText>
        </w:r>
        <w:r w:rsidR="00572FE6">
          <w:fldChar w:fldCharType="separate"/>
        </w:r>
        <w:r w:rsidR="00572FE6">
          <w:t>1</w:t>
        </w:r>
        <w:r w:rsidR="00572FE6">
          <w:rPr>
            <w:noProof/>
          </w:rPr>
          <w:fldChar w:fldCharType="end"/>
        </w:r>
      </w:sdtContent>
    </w:sdt>
    <w:r w:rsidR="00572FE6">
      <w:rPr>
        <w:noProof/>
      </w:rPr>
      <w:tab/>
    </w:r>
    <w:r w:rsidR="00572FE6">
      <w:rPr>
        <w:noProof/>
      </w:rPr>
      <w:ptab w:relativeTo="margin" w:alignment="right" w:leader="none"/>
    </w:r>
    <w:sdt>
      <w:sdtPr>
        <w:rPr>
          <w:noProof/>
        </w:rPr>
        <w:alias w:val="BHDC Content"/>
        <w:tag w:val="50F605FA825144239BED0753AD795982"/>
        <w:id w:val="1734965337"/>
        <w:placeholder>
          <w:docPart w:val="BC6C82D5DE7542478BC16A8A643F0470"/>
        </w:placeholder>
      </w:sdtPr>
      <w:sdtEndPr/>
      <w:sdtContent>
        <w:r w:rsidR="007B59A6">
          <w:rPr>
            <w:noProof/>
          </w:rPr>
          <w:t>50511.9999</w:t>
        </w:r>
      </w:sdtContent>
    </w:sdt>
  </w:p>
  <w:p w14:paraId="0F7766DA" w14:textId="77777777" w:rsidR="000B0D25" w:rsidRDefault="00572FE6" w:rsidP="00572FE6">
    <w:pPr>
      <w:ind w:left="720" w:firstLine="720"/>
      <w:rPr>
        <w:sz w:val="16"/>
        <w:szCs w:val="16"/>
      </w:rPr>
    </w:pPr>
    <w:r>
      <w:rPr>
        <w:sz w:val="16"/>
        <w:szCs w:val="16"/>
      </w:rPr>
      <w:ptab w:relativeTo="margin" w:alignment="right" w:leader="none"/>
    </w:r>
    <w:sdt>
      <w:sdtPr>
        <w:rPr>
          <w:sz w:val="16"/>
          <w:szCs w:val="16"/>
        </w:rPr>
        <w:alias w:val="BHDC Content"/>
        <w:tag w:val="1F971BD156CB4EBDAF6E3247AB0A516C"/>
        <w:id w:val="1226176656"/>
        <w:placeholder>
          <w:docPart w:val="D778D461E0404504A87D4B1770FEBB04"/>
        </w:placeholder>
      </w:sdtPr>
      <w:sdtEndPr/>
      <w:sdtContent>
        <w:r w:rsidR="007B59A6">
          <w:rPr>
            <w:sz w:val="16"/>
            <w:szCs w:val="16"/>
          </w:rPr>
          <w:t>Classification: Confidential</w:t>
        </w:r>
      </w:sdtContent>
    </w:sdt>
  </w:p>
  <w:sdt>
    <w:sdtPr>
      <w:rPr>
        <w:i/>
        <w:iCs/>
        <w:sz w:val="16"/>
        <w:szCs w:val="16"/>
      </w:rPr>
      <w:alias w:val="BHDC Content"/>
      <w:tag w:val="AED9CB32234B408AACDF77EE421793C5"/>
      <w:id w:val="-1113359201"/>
      <w:placeholder>
        <w:docPart w:val="3F215938A67E49C397F3F1B93390324F"/>
      </w:placeholder>
    </w:sdtPr>
    <w:sdtEndPr/>
    <w:sdtContent>
      <w:p w14:paraId="72B16E77" w14:textId="77777777" w:rsidR="00DF0D3E" w:rsidRPr="00DF0D3E" w:rsidRDefault="007B59A6" w:rsidP="00DF0D3E">
        <w:pPr>
          <w:ind w:left="720" w:firstLine="720"/>
          <w:jc w:val="right"/>
          <w:rPr>
            <w:i/>
            <w:iCs/>
            <w:sz w:val="16"/>
            <w:szCs w:val="16"/>
          </w:rPr>
        </w:pPr>
        <w:r>
          <w:rPr>
            <w:i/>
            <w:iCs/>
            <w:sz w:val="16"/>
            <w:szCs w:val="16"/>
          </w:rPr>
          <w:t xml:space="preserve"> </w:t>
        </w:r>
      </w:p>
    </w:sdtContent>
  </w:sdt>
  <w:p w14:paraId="74E545E4" w14:textId="77777777" w:rsidR="00CA7561" w:rsidRDefault="00CA7561"/>
  <w:p w14:paraId="6C89EED4" w14:textId="77777777" w:rsidR="00CA7561" w:rsidRDefault="00CA75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D216" w14:textId="77777777" w:rsidR="000447B1" w:rsidRDefault="000447B1" w:rsidP="00CD40F6">
      <w:r>
        <w:separator/>
      </w:r>
    </w:p>
  </w:footnote>
  <w:footnote w:type="continuationSeparator" w:id="0">
    <w:p w14:paraId="3EE29FF9" w14:textId="77777777" w:rsidR="000447B1" w:rsidRDefault="000447B1" w:rsidP="00CD40F6">
      <w:r>
        <w:continuationSeparator/>
      </w:r>
    </w:p>
  </w:footnote>
  <w:footnote w:id="1">
    <w:p w14:paraId="12151581" w14:textId="39F2410D" w:rsidR="009F76CC" w:rsidRDefault="009F76CC" w:rsidP="009F76CC">
      <w:pPr>
        <w:pStyle w:val="FootnoteText"/>
      </w:pPr>
      <w:r>
        <w:rPr>
          <w:rStyle w:val="FootnoteReference"/>
        </w:rPr>
        <w:footnoteRef/>
      </w:r>
      <w:r>
        <w:t xml:space="preserve"> </w:t>
      </w:r>
      <w:r w:rsidRPr="002163BC">
        <w:t xml:space="preserve">Connected persons are persons who exercise (or have a right to exercise) significant influence or control over the </w:t>
      </w:r>
      <w:r w:rsidR="00205BE8">
        <w:t>S</w:t>
      </w:r>
      <w:r w:rsidRPr="002163BC">
        <w:t xml:space="preserve">upplier and those over which the </w:t>
      </w:r>
      <w:r w:rsidR="00205BE8">
        <w:t>S</w:t>
      </w:r>
      <w:r w:rsidRPr="002163BC">
        <w:t xml:space="preserve">upplier exercises (or has the right to exercise) significant influence or control. This includes majority shareholders, directors and shadow directors, parent and subsidiary companies and predecessor companies. The majority of the exclusion grounds state that they apply to the </w:t>
      </w:r>
      <w:r w:rsidR="00205BE8">
        <w:t>S</w:t>
      </w:r>
      <w:r w:rsidRPr="002163BC">
        <w:t xml:space="preserve">upplier or a connected person of the </w:t>
      </w:r>
      <w:r w:rsidR="00205BE8">
        <w:t>S</w:t>
      </w:r>
      <w:r w:rsidRPr="002163BC">
        <w:t>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C25A" w14:textId="77777777" w:rsidR="007B59A6" w:rsidRDefault="007B59A6">
    <w:pPr>
      <w:pStyle w:val="Header"/>
    </w:pPr>
  </w:p>
  <w:p w14:paraId="52CC7E0F" w14:textId="77777777" w:rsidR="00CA7561" w:rsidRDefault="00CA7561"/>
  <w:p w14:paraId="6DE4D58D" w14:textId="77777777" w:rsidR="00CA7561" w:rsidRDefault="00CA75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10C2" w14:textId="77777777" w:rsidR="008919D3" w:rsidRPr="008919D3" w:rsidRDefault="008919D3" w:rsidP="00DE4389">
    <w:pPr>
      <w:pStyle w:val="Header"/>
      <w:tabs>
        <w:tab w:val="left" w:pos="1236"/>
      </w:tabs>
      <w:rPr>
        <w:lang w:val="en-US"/>
      </w:rPr>
    </w:pPr>
  </w:p>
  <w:p w14:paraId="7C18727B" w14:textId="77777777" w:rsidR="00CA7561" w:rsidRDefault="00CA7561"/>
  <w:p w14:paraId="2C7354D3" w14:textId="77777777" w:rsidR="00CA7561" w:rsidRDefault="00CA75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Region"/>
      <w:tag w:val="B5C1C69274734FF680CA338FC5D268FC"/>
      <w:id w:val="86895550"/>
    </w:sdtPr>
    <w:sdtEndPr/>
    <w:sdtContent>
      <w:p w14:paraId="63B77FEA" w14:textId="77777777" w:rsidR="007B59A6" w:rsidRPr="008919D3" w:rsidRDefault="007B59A6" w:rsidP="00DE4389">
        <w:pPr>
          <w:pStyle w:val="Header"/>
          <w:tabs>
            <w:tab w:val="left" w:pos="1236"/>
          </w:tabs>
          <w:rPr>
            <w:lang w:val="en-US"/>
          </w:rPr>
        </w:pPr>
      </w:p>
      <w:p w14:paraId="11B318F0" w14:textId="77777777" w:rsidR="000B0D25" w:rsidRDefault="00CC7C95" w:rsidP="00572FE6">
        <w:pPr>
          <w:pStyle w:val="Header"/>
        </w:pPr>
      </w:p>
    </w:sdtContent>
  </w:sdt>
  <w:p w14:paraId="1832F898" w14:textId="77777777" w:rsidR="00CA7561" w:rsidRDefault="00CA7561"/>
  <w:p w14:paraId="68EE3B7B" w14:textId="77777777" w:rsidR="00CA7561" w:rsidRDefault="00CA75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8BC8E318"/>
    <w:lvl w:ilvl="0">
      <w:start w:val="1"/>
      <w:numFmt w:val="decimal"/>
      <w:lvlText w:val="%1"/>
      <w:lvlJc w:val="left"/>
      <w:pPr>
        <w:tabs>
          <w:tab w:val="num" w:pos="862"/>
        </w:tabs>
        <w:ind w:left="862"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C4413"/>
    <w:multiLevelType w:val="hybridMultilevel"/>
    <w:tmpl w:val="9B046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3E2195"/>
    <w:multiLevelType w:val="multilevel"/>
    <w:tmpl w:val="B2D2A6E6"/>
    <w:name w:val="Ad-hoc Numbering2"/>
    <w:numStyleLink w:val="Ad-HocNumbering"/>
  </w:abstractNum>
  <w:abstractNum w:abstractNumId="3" w15:restartNumberingAfterBreak="0">
    <w:nsid w:val="062C7949"/>
    <w:multiLevelType w:val="multilevel"/>
    <w:tmpl w:val="7114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84D18"/>
    <w:multiLevelType w:val="multilevel"/>
    <w:tmpl w:val="6EF62B22"/>
    <w:name w:val="BS Appendix Numbering3"/>
    <w:numStyleLink w:val="BSAppendixNumbering"/>
  </w:abstractNum>
  <w:abstractNum w:abstractNumId="5" w15:restartNumberingAfterBreak="0">
    <w:nsid w:val="12B444A6"/>
    <w:multiLevelType w:val="multilevel"/>
    <w:tmpl w:val="8BC8E318"/>
    <w:lvl w:ilvl="0">
      <w:start w:val="1"/>
      <w:numFmt w:val="decimal"/>
      <w:lvlText w:val="%1"/>
      <w:lvlJc w:val="left"/>
      <w:pPr>
        <w:tabs>
          <w:tab w:val="num" w:pos="862"/>
        </w:tabs>
        <w:ind w:left="862"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F806EF"/>
    <w:multiLevelType w:val="multilevel"/>
    <w:tmpl w:val="273691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554794"/>
    <w:multiLevelType w:val="hybridMultilevel"/>
    <w:tmpl w:val="9ABC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706DB"/>
    <w:multiLevelType w:val="multilevel"/>
    <w:tmpl w:val="D27219A6"/>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3460E6"/>
    <w:multiLevelType w:val="multilevel"/>
    <w:tmpl w:val="6EF62B22"/>
    <w:name w:val="BS Appendix Numbering"/>
    <w:styleLink w:val="BSAppendixNumbering"/>
    <w:lvl w:ilvl="0">
      <w:start w:val="1"/>
      <w:numFmt w:val="decimal"/>
      <w:pStyle w:val="Appendix"/>
      <w:suff w:val="nothing"/>
      <w:lvlText w:val="Appendix %1"/>
      <w:lvlJc w:val="left"/>
      <w:pPr>
        <w:ind w:left="0" w:firstLine="0"/>
      </w:pPr>
      <w:rPr>
        <w:rFonts w:hint="default"/>
        <w:b/>
        <w:i w:val="0"/>
        <w:u w:val="none"/>
      </w:rPr>
    </w:lvl>
    <w:lvl w:ilvl="1">
      <w:start w:val="1"/>
      <w:numFmt w:val="upperLetter"/>
      <w:pStyle w:val="AppendixPart"/>
      <w:suff w:val="nothing"/>
      <w:lvlText w:val="Part %2"/>
      <w:lvlJc w:val="left"/>
      <w:pPr>
        <w:ind w:left="0" w:firstLine="0"/>
      </w:pPr>
      <w:rPr>
        <w:rFonts w:hint="default"/>
        <w:b w:val="0"/>
        <w:i w:val="0"/>
        <w:u w:val="single"/>
      </w:rPr>
    </w:lvl>
    <w:lvl w:ilvl="2">
      <w:start w:val="1"/>
      <w:numFmt w:val="decimal"/>
      <w:pStyle w:val="Appendix1Heading"/>
      <w:lvlText w:val="%3"/>
      <w:lvlJc w:val="left"/>
      <w:pPr>
        <w:tabs>
          <w:tab w:val="num" w:pos="720"/>
        </w:tabs>
        <w:ind w:left="720" w:hanging="720"/>
      </w:pPr>
      <w:rPr>
        <w:rFonts w:hint="default"/>
        <w:u w:val="none"/>
      </w:rPr>
    </w:lvl>
    <w:lvl w:ilvl="3">
      <w:start w:val="1"/>
      <w:numFmt w:val="decimal"/>
      <w:pStyle w:val="Appendix2Number"/>
      <w:lvlText w:val="%3.%4"/>
      <w:lvlJc w:val="left"/>
      <w:pPr>
        <w:tabs>
          <w:tab w:val="num" w:pos="720"/>
        </w:tabs>
        <w:ind w:left="720" w:hanging="720"/>
      </w:pPr>
      <w:rPr>
        <w:rFonts w:hint="default"/>
      </w:rPr>
    </w:lvl>
    <w:lvl w:ilvl="4">
      <w:start w:val="1"/>
      <w:numFmt w:val="lowerLetter"/>
      <w:pStyle w:val="Appendix3Number"/>
      <w:lvlText w:val="(%5)"/>
      <w:lvlJc w:val="left"/>
      <w:pPr>
        <w:tabs>
          <w:tab w:val="num" w:pos="1440"/>
        </w:tabs>
        <w:ind w:left="1440" w:hanging="720"/>
      </w:pPr>
      <w:rPr>
        <w:rFonts w:hint="default"/>
      </w:rPr>
    </w:lvl>
    <w:lvl w:ilvl="5">
      <w:start w:val="1"/>
      <w:numFmt w:val="lowerRoman"/>
      <w:pStyle w:val="Appendix4Number"/>
      <w:lvlText w:val="(%6)"/>
      <w:lvlJc w:val="left"/>
      <w:pPr>
        <w:tabs>
          <w:tab w:val="num" w:pos="2160"/>
        </w:tabs>
        <w:ind w:left="2160" w:hanging="720"/>
      </w:pPr>
      <w:rPr>
        <w:rFonts w:hint="default"/>
      </w:rPr>
    </w:lvl>
    <w:lvl w:ilvl="6">
      <w:start w:val="1"/>
      <w:numFmt w:val="upperLetter"/>
      <w:pStyle w:val="Appendix5Number"/>
      <w:lvlText w:val="(%7)"/>
      <w:lvlJc w:val="left"/>
      <w:pPr>
        <w:tabs>
          <w:tab w:val="num" w:pos="2880"/>
        </w:tabs>
        <w:ind w:left="2880" w:hanging="720"/>
      </w:pPr>
      <w:rPr>
        <w:rFonts w:hint="default"/>
      </w:rPr>
    </w:lvl>
    <w:lvl w:ilvl="7">
      <w:start w:val="1"/>
      <w:numFmt w:val="decimal"/>
      <w:pStyle w:val="Appendix6Number"/>
      <w:lvlText w:val="%8)"/>
      <w:lvlJc w:val="left"/>
      <w:pPr>
        <w:tabs>
          <w:tab w:val="num" w:pos="3601"/>
        </w:tabs>
        <w:ind w:left="3601" w:hanging="721"/>
      </w:pPr>
      <w:rPr>
        <w:rFonts w:hint="default"/>
      </w:rPr>
    </w:lvl>
    <w:lvl w:ilvl="8">
      <w:start w:val="1"/>
      <w:numFmt w:val="none"/>
      <w:lvlRestart w:val="0"/>
      <w:suff w:val="nothing"/>
      <w:lvlText w:val="Undefined"/>
      <w:lvlJc w:val="left"/>
      <w:pPr>
        <w:ind w:left="0" w:firstLine="0"/>
      </w:pPr>
      <w:rPr>
        <w:rFonts w:hint="default"/>
      </w:rPr>
    </w:lvl>
  </w:abstractNum>
  <w:abstractNum w:abstractNumId="12" w15:restartNumberingAfterBreak="0">
    <w:nsid w:val="22986304"/>
    <w:multiLevelType w:val="multilevel"/>
    <w:tmpl w:val="4A4A6850"/>
    <w:name w:val="BS Main Numbering"/>
    <w:styleLink w:val="BSMainNumbering"/>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43E26F8"/>
    <w:multiLevelType w:val="multilevel"/>
    <w:tmpl w:val="0FD24B2E"/>
    <w:name w:val="BS Schedule Numbering4"/>
    <w:numStyleLink w:val="BSScheduleNumbering"/>
  </w:abstractNum>
  <w:abstractNum w:abstractNumId="15" w15:restartNumberingAfterBreak="0">
    <w:nsid w:val="26A72170"/>
    <w:multiLevelType w:val="multilevel"/>
    <w:tmpl w:val="1518B466"/>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rPr>
    </w:lvl>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6" w15:restartNumberingAfterBreak="0">
    <w:nsid w:val="26C21E41"/>
    <w:multiLevelType w:val="multilevel"/>
    <w:tmpl w:val="B2D2A6E6"/>
    <w:name w:val="BS Appendix Numbering323"/>
    <w:numStyleLink w:val="Ad-HocNumbering"/>
  </w:abstractNum>
  <w:abstractNum w:abstractNumId="17"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ascii="Arial" w:hAnsi="Arial" w:hint="default"/>
        <w:sz w:val="20"/>
      </w:rPr>
    </w:lvl>
    <w:lvl w:ilvl="1">
      <w:start w:val="1"/>
      <w:numFmt w:val="decimal"/>
      <w:pStyle w:val="PSGLevel2"/>
      <w:lvlText w:val="%1.%2"/>
      <w:lvlJc w:val="left"/>
      <w:pPr>
        <w:tabs>
          <w:tab w:val="num" w:pos="720"/>
        </w:tabs>
        <w:ind w:left="720" w:hanging="720"/>
      </w:pPr>
      <w:rPr>
        <w:rFonts w:ascii="Arial" w:hAnsi="Arial" w:hint="default"/>
        <w:b w:val="0"/>
        <w:i w:val="0"/>
        <w:sz w:val="20"/>
      </w:rPr>
    </w:lvl>
    <w:lvl w:ilvl="2">
      <w:start w:val="1"/>
      <w:numFmt w:val="decimal"/>
      <w:pStyle w:val="PSGLevel3"/>
      <w:lvlText w:val="%1.%2.%3"/>
      <w:lvlJc w:val="left"/>
      <w:pPr>
        <w:tabs>
          <w:tab w:val="num" w:pos="1440"/>
        </w:tabs>
        <w:ind w:left="1440" w:hanging="720"/>
      </w:pPr>
      <w:rPr>
        <w:rFonts w:hint="default"/>
        <w:b w:val="0"/>
      </w:rPr>
    </w:lvl>
    <w:lvl w:ilvl="3">
      <w:start w:val="1"/>
      <w:numFmt w:val="lowerLetter"/>
      <w:pStyle w:val="PSGLevel4"/>
      <w:lvlText w:val="(%4)"/>
      <w:lvlJc w:val="left"/>
      <w:pPr>
        <w:tabs>
          <w:tab w:val="num" w:pos="2160"/>
        </w:tabs>
        <w:ind w:left="2160" w:hanging="720"/>
      </w:pPr>
      <w:rPr>
        <w:rFonts w:hint="default"/>
        <w:b w:val="0"/>
      </w:rPr>
    </w:lvl>
    <w:lvl w:ilvl="4">
      <w:start w:val="1"/>
      <w:numFmt w:val="lowerRoman"/>
      <w:pStyle w:val="PSGLevel5"/>
      <w:lvlText w:val="(%5)"/>
      <w:lvlJc w:val="left"/>
      <w:pPr>
        <w:tabs>
          <w:tab w:val="num" w:pos="2880"/>
        </w:tabs>
        <w:ind w:left="2880" w:hanging="720"/>
      </w:pPr>
      <w:rPr>
        <w:rFonts w:hint="default"/>
      </w:rPr>
    </w:lvl>
    <w:lvl w:ilvl="5">
      <w:start w:val="27"/>
      <w:numFmt w:val="lowerLetter"/>
      <w:pStyle w:val="PSGLevel6"/>
      <w:lvlText w:val="(%6)"/>
      <w:lvlJc w:val="left"/>
      <w:pPr>
        <w:tabs>
          <w:tab w:val="num" w:pos="3601"/>
        </w:tabs>
        <w:ind w:left="3601" w:hanging="721"/>
      </w:pPr>
      <w:rPr>
        <w:rFonts w:hint="default"/>
      </w:rPr>
    </w:lvl>
    <w:lvl w:ilvl="6">
      <w:start w:val="27"/>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18" w15:restartNumberingAfterBreak="0">
    <w:nsid w:val="2ABB1405"/>
    <w:multiLevelType w:val="multilevel"/>
    <w:tmpl w:val="9F006074"/>
    <w:name w:val="BS Bullet List2"/>
    <w:numStyleLink w:val="BSBulletList"/>
  </w:abstractNum>
  <w:abstractNum w:abstractNumId="19"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ascii="Arial" w:hAnsi="Arial" w:hint="default"/>
        <w:sz w:val="20"/>
      </w:rPr>
    </w:lvl>
    <w:lvl w:ilvl="1">
      <w:start w:val="1"/>
      <w:numFmt w:val="decimal"/>
      <w:pStyle w:val="PSGPartofScheduleNumber"/>
      <w:suff w:val="nothing"/>
      <w:lvlText w:val="Part %2"/>
      <w:lvlJc w:val="left"/>
      <w:pPr>
        <w:ind w:left="0" w:firstLine="0"/>
      </w:pPr>
      <w:rPr>
        <w:rFonts w:hint="default"/>
      </w:rPr>
    </w:lvl>
    <w:lvl w:ilvl="2">
      <w:start w:val="1"/>
      <w:numFmt w:val="decimal"/>
      <w:pStyle w:val="PSGScheduleLevel1Heading"/>
      <w:lvlText w:val="%3."/>
      <w:lvlJc w:val="left"/>
      <w:pPr>
        <w:tabs>
          <w:tab w:val="num" w:pos="720"/>
        </w:tabs>
        <w:ind w:left="720" w:hanging="720"/>
      </w:pPr>
      <w:rPr>
        <w:rFonts w:hint="default"/>
      </w:rPr>
    </w:lvl>
    <w:lvl w:ilvl="3">
      <w:start w:val="1"/>
      <w:numFmt w:val="decimal"/>
      <w:pStyle w:val="PSGScheduleLevel2"/>
      <w:lvlText w:val="%3.%4"/>
      <w:lvlJc w:val="left"/>
      <w:pPr>
        <w:tabs>
          <w:tab w:val="num" w:pos="720"/>
        </w:tabs>
        <w:ind w:left="720" w:hanging="720"/>
      </w:pPr>
      <w:rPr>
        <w:rFonts w:hint="default"/>
        <w:b w:val="0"/>
        <w:i w:val="0"/>
        <w:sz w:val="20"/>
      </w:rPr>
    </w:lvl>
    <w:lvl w:ilvl="4">
      <w:start w:val="1"/>
      <w:numFmt w:val="decimal"/>
      <w:pStyle w:val="PSGScheduleLevel3"/>
      <w:lvlText w:val="%3.%4.%5"/>
      <w:lvlJc w:val="left"/>
      <w:pPr>
        <w:tabs>
          <w:tab w:val="num" w:pos="1440"/>
        </w:tabs>
        <w:ind w:left="1440" w:hanging="720"/>
      </w:pPr>
      <w:rPr>
        <w:rFonts w:hint="default"/>
      </w:rPr>
    </w:lvl>
    <w:lvl w:ilvl="5">
      <w:start w:val="1"/>
      <w:numFmt w:val="lowerLetter"/>
      <w:pStyle w:val="PSGScheduleLevel4"/>
      <w:lvlText w:val="(%6)"/>
      <w:lvlJc w:val="left"/>
      <w:pPr>
        <w:tabs>
          <w:tab w:val="num" w:pos="2160"/>
        </w:tabs>
        <w:ind w:left="2160" w:hanging="720"/>
      </w:pPr>
      <w:rPr>
        <w:rFonts w:hint="default"/>
      </w:rPr>
    </w:lvl>
    <w:lvl w:ilvl="6">
      <w:start w:val="1"/>
      <w:numFmt w:val="lowerRoman"/>
      <w:pStyle w:val="PSGScheduleLevel5"/>
      <w:lvlText w:val="(%7)"/>
      <w:lvlJc w:val="left"/>
      <w:pPr>
        <w:tabs>
          <w:tab w:val="num" w:pos="2880"/>
        </w:tabs>
        <w:ind w:left="2880" w:hanging="720"/>
      </w:pPr>
      <w:rPr>
        <w:rFonts w:hint="default"/>
      </w:rPr>
    </w:lvl>
    <w:lvl w:ilvl="7">
      <w:start w:val="27"/>
      <w:numFmt w:val="lowerLetter"/>
      <w:pStyle w:val="PSGScheduleLevel6"/>
      <w:lvlText w:val="(%8)"/>
      <w:lvlJc w:val="left"/>
      <w:pPr>
        <w:tabs>
          <w:tab w:val="num" w:pos="3601"/>
        </w:tabs>
        <w:ind w:left="3601" w:hanging="721"/>
      </w:pPr>
      <w:rPr>
        <w:rFonts w:hint="default"/>
      </w:rPr>
    </w:lvl>
    <w:lvl w:ilvl="8">
      <w:start w:val="27"/>
      <w:numFmt w:val="none"/>
      <w:suff w:val="nothing"/>
      <w:lvlText w:val="Undefined"/>
      <w:lvlJc w:val="left"/>
      <w:pPr>
        <w:ind w:left="0" w:firstLine="0"/>
      </w:pPr>
      <w:rPr>
        <w:rFonts w:hint="default"/>
      </w:rPr>
    </w:lvl>
  </w:abstractNum>
  <w:abstractNum w:abstractNumId="20" w15:restartNumberingAfterBreak="0">
    <w:nsid w:val="2B8B2F36"/>
    <w:multiLevelType w:val="multilevel"/>
    <w:tmpl w:val="0FD24B2E"/>
    <w:name w:val="BS Schedule Numbering"/>
    <w:styleLink w:val="BSScheduleNumbering"/>
    <w:lvl w:ilvl="0">
      <w:start w:val="1"/>
      <w:numFmt w:val="decimal"/>
      <w:pStyle w:val="Schedule"/>
      <w:suff w:val="nothing"/>
      <w:lvlText w:val="Schedule %1"/>
      <w:lvlJc w:val="left"/>
      <w:pPr>
        <w:ind w:left="0" w:firstLine="0"/>
      </w:pPr>
      <w:rPr>
        <w:rFonts w:hint="default"/>
      </w:rPr>
    </w:lvl>
    <w:lvl w:ilvl="1">
      <w:start w:val="1"/>
      <w:numFmt w:val="upperLetter"/>
      <w:pStyle w:val="SchedulePart"/>
      <w:suff w:val="nothing"/>
      <w:lvlText w:val="Part %2"/>
      <w:lvlJc w:val="left"/>
      <w:pPr>
        <w:ind w:left="0" w:firstLine="0"/>
      </w:pPr>
      <w:rPr>
        <w:rFonts w:hint="default"/>
        <w:u w:val="single"/>
      </w:rPr>
    </w:lvl>
    <w:lvl w:ilvl="2">
      <w:start w:val="1"/>
      <w:numFmt w:val="decimal"/>
      <w:pStyle w:val="Schedule1Heading"/>
      <w:lvlText w:val="%3"/>
      <w:lvlJc w:val="left"/>
      <w:pPr>
        <w:tabs>
          <w:tab w:val="num" w:pos="720"/>
        </w:tabs>
        <w:ind w:left="720" w:hanging="720"/>
      </w:pPr>
      <w:rPr>
        <w:rFonts w:hint="default"/>
      </w:rPr>
    </w:lvl>
    <w:lvl w:ilvl="3">
      <w:start w:val="1"/>
      <w:numFmt w:val="decimal"/>
      <w:pStyle w:val="Schedule2Number"/>
      <w:lvlText w:val="%3.%4"/>
      <w:lvlJc w:val="left"/>
      <w:pPr>
        <w:tabs>
          <w:tab w:val="num" w:pos="720"/>
        </w:tabs>
        <w:ind w:left="720" w:hanging="720"/>
      </w:pPr>
      <w:rPr>
        <w:rFonts w:hint="default"/>
      </w:rPr>
    </w:lvl>
    <w:lvl w:ilvl="4">
      <w:start w:val="1"/>
      <w:numFmt w:val="lowerLetter"/>
      <w:pStyle w:val="Schedule3Number"/>
      <w:lvlText w:val="(%5)"/>
      <w:lvlJc w:val="left"/>
      <w:pPr>
        <w:tabs>
          <w:tab w:val="num" w:pos="1440"/>
        </w:tabs>
        <w:ind w:left="1440" w:hanging="720"/>
      </w:pPr>
      <w:rPr>
        <w:rFonts w:hint="default"/>
      </w:rPr>
    </w:lvl>
    <w:lvl w:ilvl="5">
      <w:start w:val="1"/>
      <w:numFmt w:val="lowerRoman"/>
      <w:pStyle w:val="Schedule4Number"/>
      <w:lvlText w:val="(%6)"/>
      <w:lvlJc w:val="left"/>
      <w:pPr>
        <w:tabs>
          <w:tab w:val="num" w:pos="2160"/>
        </w:tabs>
        <w:ind w:left="2160" w:hanging="720"/>
      </w:pPr>
      <w:rPr>
        <w:rFonts w:hint="default"/>
      </w:rPr>
    </w:lvl>
    <w:lvl w:ilvl="6">
      <w:start w:val="1"/>
      <w:numFmt w:val="upperLetter"/>
      <w:pStyle w:val="Schedule5Number"/>
      <w:lvlText w:val="(%7)"/>
      <w:lvlJc w:val="left"/>
      <w:pPr>
        <w:tabs>
          <w:tab w:val="num" w:pos="2880"/>
        </w:tabs>
        <w:ind w:left="2880" w:hanging="720"/>
      </w:pPr>
      <w:rPr>
        <w:rFonts w:hint="default"/>
      </w:rPr>
    </w:lvl>
    <w:lvl w:ilvl="7">
      <w:start w:val="1"/>
      <w:numFmt w:val="decimal"/>
      <w:pStyle w:val="Schedule6Number"/>
      <w:lvlText w:val="%8)"/>
      <w:lvlJc w:val="left"/>
      <w:pPr>
        <w:tabs>
          <w:tab w:val="num" w:pos="3601"/>
        </w:tabs>
        <w:ind w:left="3601" w:hanging="721"/>
      </w:pPr>
      <w:rPr>
        <w:rFonts w:hint="default"/>
      </w:rPr>
    </w:lvl>
    <w:lvl w:ilvl="8">
      <w:start w:val="1"/>
      <w:numFmt w:val="none"/>
      <w:lvlRestart w:val="0"/>
      <w:lvlText w:val="Undefined"/>
      <w:lvlJc w:val="left"/>
      <w:pPr>
        <w:ind w:left="0" w:firstLine="0"/>
      </w:pPr>
      <w:rPr>
        <w:rFonts w:hint="default"/>
      </w:rPr>
    </w:lvl>
  </w:abstractNum>
  <w:abstractNum w:abstractNumId="21" w15:restartNumberingAfterBreak="0">
    <w:nsid w:val="32DB2E2E"/>
    <w:multiLevelType w:val="multilevel"/>
    <w:tmpl w:val="0FD24B2E"/>
    <w:name w:val="BS Schedule Numbering5"/>
    <w:numStyleLink w:val="BSScheduleNumbering"/>
  </w:abstractNum>
  <w:abstractNum w:abstractNumId="22" w15:restartNumberingAfterBreak="0">
    <w:nsid w:val="40594CFF"/>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2225059"/>
    <w:multiLevelType w:val="multilevel"/>
    <w:tmpl w:val="B2D2A6E6"/>
    <w:name w:val="Ad-hoc Numbering"/>
    <w:styleLink w:val="Ad-HocNumbering"/>
    <w:lvl w:ilvl="0">
      <w:start w:val="1"/>
      <w:numFmt w:val="decimal"/>
      <w:pStyle w:val="Ad-hocLevel1"/>
      <w:lvlText w:val="%1"/>
      <w:lvlJc w:val="left"/>
      <w:pPr>
        <w:tabs>
          <w:tab w:val="num" w:pos="720"/>
        </w:tabs>
        <w:ind w:left="720" w:hanging="720"/>
      </w:pPr>
      <w:rPr>
        <w:rFonts w:hint="default"/>
      </w:rPr>
    </w:lvl>
    <w:lvl w:ilvl="1">
      <w:start w:val="1"/>
      <w:numFmt w:val="decimal"/>
      <w:pStyle w:val="Ad-hoclevel2"/>
      <w:lvlText w:val="%1.%2"/>
      <w:lvlJc w:val="left"/>
      <w:pPr>
        <w:tabs>
          <w:tab w:val="num" w:pos="720"/>
        </w:tabs>
        <w:ind w:left="720" w:hanging="720"/>
      </w:pPr>
      <w:rPr>
        <w:rFonts w:hint="default"/>
      </w:rPr>
    </w:lvl>
    <w:lvl w:ilvl="2">
      <w:start w:val="1"/>
      <w:numFmt w:val="lowerLetter"/>
      <w:pStyle w:val="Ad-hoclevel3"/>
      <w:lvlText w:val="(%3)"/>
      <w:lvlJc w:val="left"/>
      <w:pPr>
        <w:tabs>
          <w:tab w:val="num" w:pos="1440"/>
        </w:tabs>
        <w:ind w:left="1440" w:hanging="720"/>
      </w:pPr>
      <w:rPr>
        <w:rFonts w:hint="default"/>
      </w:rPr>
    </w:lvl>
    <w:lvl w:ilvl="3">
      <w:start w:val="1"/>
      <w:numFmt w:val="lowerRoman"/>
      <w:pStyle w:val="Ad-hoclevel4"/>
      <w:lvlText w:val="(%4)"/>
      <w:lvlJc w:val="left"/>
      <w:pPr>
        <w:tabs>
          <w:tab w:val="num" w:pos="2160"/>
        </w:tabs>
        <w:ind w:left="2160" w:hanging="720"/>
      </w:pPr>
      <w:rPr>
        <w:rFonts w:hint="default"/>
      </w:rPr>
    </w:lvl>
    <w:lvl w:ilvl="4">
      <w:start w:val="1"/>
      <w:numFmt w:val="upperLetter"/>
      <w:pStyle w:val="Ad-hoclevel5"/>
      <w:lvlText w:val="(%5)"/>
      <w:lvlJc w:val="left"/>
      <w:pPr>
        <w:tabs>
          <w:tab w:val="num" w:pos="2880"/>
        </w:tabs>
        <w:ind w:left="2880" w:hanging="720"/>
      </w:pPr>
      <w:rPr>
        <w:rFonts w:hint="default"/>
      </w:rPr>
    </w:lvl>
    <w:lvl w:ilvl="5">
      <w:start w:val="1"/>
      <w:numFmt w:val="none"/>
      <w:suff w:val="nothing"/>
      <w:lvlText w:val="Undefined"/>
      <w:lvlJc w:val="left"/>
      <w:pPr>
        <w:ind w:left="0" w:firstLine="0"/>
      </w:pPr>
      <w:rPr>
        <w:rFonts w:hint="default"/>
      </w:rPr>
    </w:lvl>
    <w:lvl w:ilvl="6">
      <w:start w:val="1"/>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24"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470A0F17"/>
    <w:multiLevelType w:val="multilevel"/>
    <w:tmpl w:val="273691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134FE5"/>
    <w:multiLevelType w:val="multilevel"/>
    <w:tmpl w:val="B276D0C8"/>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1080" w:hanging="360"/>
      </w:pPr>
      <w:rPr>
        <w:rFonts w:ascii="Symbol" w:hAnsi="Symbol" w:hint="default"/>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86F0B82"/>
    <w:multiLevelType w:val="multilevel"/>
    <w:tmpl w:val="B2D2A6E6"/>
    <w:name w:val="BS Appendix Numbering322"/>
    <w:numStyleLink w:val="Ad-HocNumbering"/>
  </w:abstractNum>
  <w:abstractNum w:abstractNumId="30" w15:restartNumberingAfterBreak="0">
    <w:nsid w:val="48B03BF5"/>
    <w:multiLevelType w:val="multilevel"/>
    <w:tmpl w:val="0809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174BD4"/>
    <w:multiLevelType w:val="multilevel"/>
    <w:tmpl w:val="7FEE3692"/>
    <w:styleLink w:val="BSAppendixList"/>
    <w:lvl w:ilvl="0">
      <w:start w:val="1"/>
      <w:numFmt w:val="decimal"/>
      <w:suff w:val="nothing"/>
      <w:lvlText w:val="APPENDIX %1"/>
      <w:lvlJc w:val="left"/>
      <w:pPr>
        <w:ind w:left="0" w:firstLine="0"/>
      </w:pPr>
      <w:rPr>
        <w:rFonts w:hint="default"/>
        <w:b/>
        <w:i w:val="0"/>
        <w:u w:val="none"/>
      </w:rPr>
    </w:lvl>
    <w:lvl w:ilvl="1">
      <w:start w:val="1"/>
      <w:numFmt w:val="upperLetter"/>
      <w:suff w:val="nothing"/>
      <w:lvlText w:val="Part %2"/>
      <w:lvlJc w:val="left"/>
      <w:pPr>
        <w:ind w:left="0" w:firstLine="0"/>
      </w:pPr>
      <w:rPr>
        <w:rFonts w:hint="default"/>
        <w:b w:val="0"/>
        <w:i w:val="0"/>
        <w:u w:val="none"/>
      </w:rPr>
    </w:lvl>
    <w:lvl w:ilvl="2">
      <w:start w:val="1"/>
      <w:numFmt w:val="decimal"/>
      <w:lvlText w:val="%3"/>
      <w:lvlJc w:val="left"/>
      <w:pPr>
        <w:tabs>
          <w:tab w:val="num" w:pos="720"/>
        </w:tabs>
        <w:ind w:left="720" w:hanging="720"/>
      </w:pPr>
      <w:rPr>
        <w:rFonts w:hint="default"/>
        <w:u w:val="none"/>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880"/>
        </w:tabs>
        <w:ind w:left="2880" w:hanging="720"/>
      </w:pPr>
      <w:rPr>
        <w:rFonts w:hint="default"/>
      </w:rPr>
    </w:lvl>
    <w:lvl w:ilvl="7">
      <w:start w:val="1"/>
      <w:numFmt w:val="decimal"/>
      <w:lvlText w:val="%8)"/>
      <w:lvlJc w:val="left"/>
      <w:pPr>
        <w:tabs>
          <w:tab w:val="num" w:pos="3601"/>
        </w:tabs>
        <w:ind w:left="3601" w:hanging="721"/>
      </w:pPr>
      <w:rPr>
        <w:rFonts w:hint="default"/>
      </w:rPr>
    </w:lvl>
    <w:lvl w:ilvl="8">
      <w:start w:val="1"/>
      <w:numFmt w:val="none"/>
      <w:lvlRestart w:val="0"/>
      <w:suff w:val="nothing"/>
      <w:lvlText w:val="Undefined"/>
      <w:lvlJc w:val="left"/>
      <w:pPr>
        <w:ind w:left="0" w:firstLine="0"/>
      </w:pPr>
      <w:rPr>
        <w:rFonts w:hint="default"/>
      </w:rPr>
    </w:lvl>
  </w:abstractNum>
  <w:abstractNum w:abstractNumId="32" w15:restartNumberingAfterBreak="0">
    <w:nsid w:val="4DBF6E2C"/>
    <w:multiLevelType w:val="multilevel"/>
    <w:tmpl w:val="461AC0D0"/>
    <w:name w:val="listnum"/>
    <w:lvl w:ilvl="0">
      <w:start w:val="1"/>
      <w:numFmt w:val="none"/>
      <w:suff w:val="nothing"/>
      <w:lvlText w:val="Schedule"/>
      <w:lvlJc w:val="left"/>
      <w:pPr>
        <w:ind w:left="0" w:firstLine="0"/>
      </w:pPr>
      <w:rPr>
        <w:rFonts w:ascii="Arial" w:hAnsi="Arial" w:hint="default"/>
        <w:sz w:val="20"/>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720"/>
        </w:tabs>
        <w:ind w:left="720" w:hanging="720"/>
      </w:pPr>
      <w:rPr>
        <w:rFonts w:hint="default"/>
        <w:b w:val="0"/>
        <w:i w:val="0"/>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440"/>
        </w:tabs>
        <w:ind w:left="1440" w:hanging="720"/>
      </w:pPr>
      <w:rPr>
        <w:rFonts w:hint="default"/>
      </w:rPr>
    </w:lvl>
    <w:lvl w:ilvl="6">
      <w:start w:val="1"/>
      <w:numFmt w:val="lowerLetter"/>
      <w:lvlText w:val="(%7)"/>
      <w:lvlJc w:val="left"/>
      <w:pPr>
        <w:tabs>
          <w:tab w:val="num" w:pos="2160"/>
        </w:tabs>
        <w:ind w:left="2160" w:hanging="720"/>
      </w:pPr>
      <w:rPr>
        <w:rFonts w:hint="default"/>
      </w:rPr>
    </w:lvl>
    <w:lvl w:ilvl="7">
      <w:start w:val="1"/>
      <w:numFmt w:val="lowerRoman"/>
      <w:lvlText w:val="(%8)"/>
      <w:lvlJc w:val="left"/>
      <w:pPr>
        <w:tabs>
          <w:tab w:val="num" w:pos="2880"/>
        </w:tabs>
        <w:ind w:left="2880" w:hanging="720"/>
      </w:pPr>
      <w:rPr>
        <w:rFonts w:hint="default"/>
      </w:rPr>
    </w:lvl>
    <w:lvl w:ilvl="8">
      <w:start w:val="27"/>
      <w:numFmt w:val="lowerLetter"/>
      <w:lvlText w:val="(%9)"/>
      <w:lvlJc w:val="left"/>
      <w:pPr>
        <w:tabs>
          <w:tab w:val="num" w:pos="3601"/>
        </w:tabs>
        <w:ind w:left="3601" w:hanging="721"/>
      </w:pPr>
      <w:rPr>
        <w:rFonts w:hint="default"/>
      </w:rPr>
    </w:lvl>
  </w:abstractNum>
  <w:abstractNum w:abstractNumId="33" w15:restartNumberingAfterBreak="0">
    <w:nsid w:val="5349637E"/>
    <w:multiLevelType w:val="singleLevel"/>
    <w:tmpl w:val="9190AB7A"/>
    <w:lvl w:ilvl="0">
      <w:start w:val="5"/>
      <w:numFmt w:val="decimal"/>
      <w:lvlText w:val="%1"/>
      <w:lvlJc w:val="left"/>
      <w:pPr>
        <w:ind w:left="360" w:hanging="360"/>
      </w:pPr>
      <w:rPr>
        <w:rFonts w:hint="default"/>
      </w:rPr>
    </w:lvl>
  </w:abstractNum>
  <w:abstractNum w:abstractNumId="34" w15:restartNumberingAfterBreak="0">
    <w:nsid w:val="53785E76"/>
    <w:multiLevelType w:val="singleLevel"/>
    <w:tmpl w:val="E3A86244"/>
    <w:lvl w:ilvl="0">
      <w:start w:val="1"/>
      <w:numFmt w:val="bullet"/>
      <w:lvlText w:val=""/>
      <w:lvlJc w:val="left"/>
      <w:pPr>
        <w:tabs>
          <w:tab w:val="num" w:pos="720"/>
        </w:tabs>
        <w:ind w:left="720" w:hanging="720"/>
      </w:pPr>
      <w:rPr>
        <w:rFonts w:ascii="Symbol" w:hAnsi="Symbol" w:hint="default"/>
        <w:sz w:val="20"/>
        <w:szCs w:val="20"/>
      </w:rPr>
    </w:lvl>
  </w:abstractNum>
  <w:abstractNum w:abstractNumId="35"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58AE5123"/>
    <w:multiLevelType w:val="singleLevel"/>
    <w:tmpl w:val="AF0AB8D0"/>
    <w:lvl w:ilvl="0">
      <w:start w:val="1"/>
      <w:numFmt w:val="bullet"/>
      <w:lvlText w:val=""/>
      <w:lvlJc w:val="left"/>
      <w:pPr>
        <w:tabs>
          <w:tab w:val="num" w:pos="720"/>
        </w:tabs>
        <w:ind w:left="720" w:hanging="720"/>
      </w:pPr>
      <w:rPr>
        <w:rFonts w:ascii="Symbol" w:hAnsi="Symbol" w:hint="default"/>
        <w:sz w:val="20"/>
        <w:szCs w:val="20"/>
      </w:rPr>
    </w:lvl>
  </w:abstractNum>
  <w:abstractNum w:abstractNumId="37" w15:restartNumberingAfterBreak="0">
    <w:nsid w:val="59030C27"/>
    <w:multiLevelType w:val="multilevel"/>
    <w:tmpl w:val="B2D2A6E6"/>
    <w:name w:val="Ad-hoc Numbering4"/>
    <w:numStyleLink w:val="Ad-HocNumbering"/>
  </w:abstractNum>
  <w:abstractNum w:abstractNumId="38" w15:restartNumberingAfterBreak="0">
    <w:nsid w:val="5C9C2695"/>
    <w:multiLevelType w:val="multilevel"/>
    <w:tmpl w:val="8E3AEDFA"/>
    <w:lvl w:ilvl="0">
      <w:start w:val="1"/>
      <w:numFmt w:val="decimal"/>
      <w:suff w:val="nothing"/>
      <w:lvlText w:val="Schedule %1"/>
      <w:lvlJc w:val="left"/>
      <w:pPr>
        <w:tabs>
          <w:tab w:val="num" w:pos="0"/>
        </w:tabs>
        <w:ind w:left="0" w:firstLine="0"/>
      </w:pPr>
      <w:rPr>
        <w:b/>
        <w:i w:val="0"/>
        <w:u w:val="single"/>
      </w:rPr>
    </w:lvl>
    <w:lvl w:ilvl="1">
      <w:start w:val="1"/>
      <w:numFmt w:val="decimal"/>
      <w:lvlRestart w:val="0"/>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E302781"/>
    <w:multiLevelType w:val="singleLevel"/>
    <w:tmpl w:val="7E54B8EA"/>
    <w:lvl w:ilvl="0">
      <w:start w:val="1"/>
      <w:numFmt w:val="bullet"/>
      <w:lvlText w:val=""/>
      <w:lvlJc w:val="left"/>
      <w:pPr>
        <w:tabs>
          <w:tab w:val="num" w:pos="720"/>
        </w:tabs>
        <w:ind w:left="720" w:hanging="720"/>
      </w:pPr>
      <w:rPr>
        <w:rFonts w:ascii="Symbol" w:hAnsi="Symbol" w:hint="default"/>
        <w:sz w:val="20"/>
        <w:szCs w:val="20"/>
      </w:rPr>
    </w:lvl>
  </w:abstractNum>
  <w:abstractNum w:abstractNumId="40" w15:restartNumberingAfterBreak="0">
    <w:nsid w:val="620072CA"/>
    <w:multiLevelType w:val="multilevel"/>
    <w:tmpl w:val="134230DC"/>
    <w:name w:val="PSG Numbering2"/>
    <w:numStyleLink w:val="PSGNumbering"/>
  </w:abstractNum>
  <w:abstractNum w:abstractNumId="41"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6215B5D"/>
    <w:multiLevelType w:val="multilevel"/>
    <w:tmpl w:val="9F006074"/>
    <w:name w:val="BS Bullet List"/>
    <w:styleLink w:val="BSBulletList"/>
    <w:lvl w:ilvl="0">
      <w:start w:val="1"/>
      <w:numFmt w:val="bullet"/>
      <w:pStyle w:val="Bullet1"/>
      <w:lvlText w:val=""/>
      <w:lvlJc w:val="left"/>
      <w:pPr>
        <w:tabs>
          <w:tab w:val="num" w:pos="720"/>
        </w:tabs>
        <w:ind w:left="720" w:hanging="720"/>
      </w:pPr>
      <w:rPr>
        <w:rFonts w:ascii="Symbol" w:hAnsi="Symbol"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1"/>
        </w:tabs>
        <w:ind w:left="3601" w:hanging="721"/>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1"/>
        </w:tabs>
        <w:ind w:left="432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1"/>
        </w:tabs>
        <w:ind w:left="504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1"/>
        </w:tabs>
        <w:ind w:left="576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1"/>
        </w:tabs>
        <w:ind w:left="648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8055C3D"/>
    <w:multiLevelType w:val="hybridMultilevel"/>
    <w:tmpl w:val="96722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9C0444A"/>
    <w:multiLevelType w:val="multilevel"/>
    <w:tmpl w:val="8BC8E318"/>
    <w:lvl w:ilvl="0">
      <w:start w:val="1"/>
      <w:numFmt w:val="decimal"/>
      <w:lvlText w:val="%1"/>
      <w:lvlJc w:val="left"/>
      <w:pPr>
        <w:tabs>
          <w:tab w:val="num" w:pos="862"/>
        </w:tabs>
        <w:ind w:left="862"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6D1A5EC1"/>
    <w:multiLevelType w:val="multilevel"/>
    <w:tmpl w:val="9F006074"/>
    <w:name w:val="BS Bullet List3"/>
    <w:numStyleLink w:val="BSBulletList"/>
  </w:abstractNum>
  <w:abstractNum w:abstractNumId="46" w15:restartNumberingAfterBreak="0">
    <w:nsid w:val="6EF90881"/>
    <w:multiLevelType w:val="singleLevel"/>
    <w:tmpl w:val="400C7818"/>
    <w:lvl w:ilvl="0">
      <w:start w:val="1"/>
      <w:numFmt w:val="bullet"/>
      <w:lvlText w:val=""/>
      <w:lvlJc w:val="left"/>
      <w:pPr>
        <w:tabs>
          <w:tab w:val="num" w:pos="720"/>
        </w:tabs>
        <w:ind w:left="720" w:hanging="720"/>
      </w:pPr>
      <w:rPr>
        <w:rFonts w:ascii="Symbol" w:hAnsi="Symbol" w:hint="default"/>
        <w:sz w:val="20"/>
        <w:szCs w:val="20"/>
      </w:rPr>
    </w:lvl>
  </w:abstractNum>
  <w:abstractNum w:abstractNumId="47" w15:restartNumberingAfterBreak="0">
    <w:nsid w:val="724E680A"/>
    <w:multiLevelType w:val="multilevel"/>
    <w:tmpl w:val="6EF62B22"/>
    <w:name w:val="BS Appendix Numbering2"/>
    <w:numStyleLink w:val="BSAppendixNumbering"/>
  </w:abstractNum>
  <w:abstractNum w:abstractNumId="48" w15:restartNumberingAfterBreak="0">
    <w:nsid w:val="731962CD"/>
    <w:multiLevelType w:val="multilevel"/>
    <w:tmpl w:val="B2D2A6E6"/>
    <w:name w:val="Ad-hoc Numbering3"/>
    <w:numStyleLink w:val="Ad-HocNumbering"/>
  </w:abstractNum>
  <w:abstractNum w:abstractNumId="49" w15:restartNumberingAfterBreak="0">
    <w:nsid w:val="79A922BB"/>
    <w:multiLevelType w:val="multilevel"/>
    <w:tmpl w:val="0FD24B2E"/>
    <w:name w:val="BS Schedule Numbering2"/>
    <w:numStyleLink w:val="BSScheduleNumbering"/>
  </w:abstractNum>
  <w:abstractNum w:abstractNumId="50" w15:restartNumberingAfterBreak="0">
    <w:nsid w:val="79E466F4"/>
    <w:multiLevelType w:val="multilevel"/>
    <w:tmpl w:val="B2D2A6E6"/>
    <w:name w:val="BS Appendix Numbering324"/>
    <w:numStyleLink w:val="Ad-HocNumbering"/>
  </w:abstractNum>
  <w:abstractNum w:abstractNumId="51"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B45463A"/>
    <w:multiLevelType w:val="hybridMultilevel"/>
    <w:tmpl w:val="7DF2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D77958"/>
    <w:multiLevelType w:val="multilevel"/>
    <w:tmpl w:val="0FD24B2E"/>
    <w:name w:val="BS Schedule Numbering3"/>
    <w:numStyleLink w:val="BSScheduleNumbering"/>
  </w:abstractNum>
  <w:abstractNum w:abstractNumId="54" w15:restartNumberingAfterBreak="0">
    <w:nsid w:val="7E584AED"/>
    <w:multiLevelType w:val="multilevel"/>
    <w:tmpl w:val="4A56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E2590E"/>
    <w:multiLevelType w:val="multilevel"/>
    <w:tmpl w:val="D27219A6"/>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08524286">
    <w:abstractNumId w:val="38"/>
  </w:num>
  <w:num w:numId="2" w16cid:durableId="563761142">
    <w:abstractNumId w:val="12"/>
  </w:num>
  <w:num w:numId="3" w16cid:durableId="1510364337">
    <w:abstractNumId w:val="31"/>
  </w:num>
  <w:num w:numId="4" w16cid:durableId="568997187">
    <w:abstractNumId w:val="42"/>
  </w:num>
  <w:num w:numId="5" w16cid:durableId="1728457228">
    <w:abstractNumId w:val="40"/>
    <w:lvlOverride w:ilvl="0">
      <w:lvl w:ilvl="0">
        <w:start w:val="1"/>
        <w:numFmt w:val="decimal"/>
        <w:pStyle w:val="PSGLevel1Heading"/>
        <w:lvlText w:val="%1."/>
        <w:lvlJc w:val="left"/>
        <w:pPr>
          <w:tabs>
            <w:tab w:val="num" w:pos="720"/>
          </w:tabs>
          <w:ind w:left="720" w:hanging="720"/>
        </w:pPr>
        <w:rPr>
          <w:rFonts w:ascii="Arial" w:hAnsi="Arial" w:hint="default"/>
          <w:sz w:val="20"/>
        </w:rPr>
      </w:lvl>
    </w:lvlOverride>
    <w:lvlOverride w:ilvl="1">
      <w:lvl w:ilvl="1">
        <w:start w:val="1"/>
        <w:numFmt w:val="decimal"/>
        <w:pStyle w:val="PSGLevel2"/>
        <w:lvlText w:val="%1.%2"/>
        <w:lvlJc w:val="left"/>
        <w:pPr>
          <w:tabs>
            <w:tab w:val="num" w:pos="720"/>
          </w:tabs>
          <w:ind w:left="720" w:hanging="720"/>
        </w:pPr>
        <w:rPr>
          <w:rFonts w:hint="default"/>
        </w:rPr>
      </w:lvl>
    </w:lvlOverride>
    <w:lvlOverride w:ilvl="2">
      <w:lvl w:ilvl="2">
        <w:start w:val="1"/>
        <w:numFmt w:val="decimal"/>
        <w:pStyle w:val="PSGLevel3"/>
        <w:lvlText w:val="%1.%2.%3"/>
        <w:lvlJc w:val="left"/>
        <w:pPr>
          <w:tabs>
            <w:tab w:val="num" w:pos="1440"/>
          </w:tabs>
          <w:ind w:left="1440" w:hanging="720"/>
        </w:pPr>
      </w:lvl>
    </w:lvlOverride>
    <w:lvlOverride w:ilvl="3">
      <w:lvl w:ilvl="3">
        <w:start w:val="1"/>
        <w:numFmt w:val="lowerLetter"/>
        <w:pStyle w:val="PSGLevel4"/>
        <w:lvlText w:val="(%4)"/>
        <w:lvlJc w:val="left"/>
        <w:pPr>
          <w:tabs>
            <w:tab w:val="num" w:pos="2160"/>
          </w:tabs>
          <w:ind w:left="2160" w:hanging="720"/>
        </w:pPr>
        <w:rPr>
          <w:rFonts w:hint="default"/>
          <w:b w:val="0"/>
        </w:rPr>
      </w:lvl>
    </w:lvlOverride>
    <w:lvlOverride w:ilvl="4">
      <w:lvl w:ilvl="4">
        <w:start w:val="1"/>
        <w:numFmt w:val="lowerRoman"/>
        <w:pStyle w:val="PSGLevel5"/>
        <w:lvlText w:val="(%5)"/>
        <w:lvlJc w:val="left"/>
        <w:pPr>
          <w:tabs>
            <w:tab w:val="num" w:pos="2880"/>
          </w:tabs>
          <w:ind w:left="2880" w:hanging="720"/>
        </w:pPr>
        <w:rPr>
          <w:rFonts w:hint="default"/>
        </w:rPr>
      </w:lvl>
    </w:lvlOverride>
    <w:lvlOverride w:ilvl="5">
      <w:lvl w:ilvl="5">
        <w:start w:val="27"/>
        <w:numFmt w:val="lowerLetter"/>
        <w:pStyle w:val="PSGLevel6"/>
        <w:lvlText w:val="(%6)"/>
        <w:lvlJc w:val="left"/>
        <w:pPr>
          <w:tabs>
            <w:tab w:val="num" w:pos="3601"/>
          </w:tabs>
          <w:ind w:left="3601" w:hanging="721"/>
        </w:pPr>
        <w:rPr>
          <w:rFonts w:hint="default"/>
        </w:rPr>
      </w:lvl>
    </w:lvlOverride>
    <w:lvlOverride w:ilvl="6">
      <w:lvl w:ilvl="6">
        <w:start w:val="27"/>
        <w:numFmt w:val="none"/>
        <w:suff w:val="nothing"/>
        <w:lvlText w:val="Undefined"/>
        <w:lvlJc w:val="left"/>
        <w:pPr>
          <w:ind w:left="0" w:firstLine="0"/>
        </w:pPr>
        <w:rPr>
          <w:rFonts w:hint="default"/>
        </w:rPr>
      </w:lvl>
    </w:lvlOverride>
    <w:lvlOverride w:ilvl="7">
      <w:lvl w:ilvl="7">
        <w:start w:val="1"/>
        <w:numFmt w:val="none"/>
        <w:suff w:val="nothing"/>
        <w:lvlText w:val="Undefined"/>
        <w:lvlJc w:val="left"/>
        <w:pPr>
          <w:ind w:left="0" w:firstLine="0"/>
        </w:pPr>
        <w:rPr>
          <w:rFonts w:hint="default"/>
        </w:rPr>
      </w:lvl>
    </w:lvlOverride>
    <w:lvlOverride w:ilvl="8">
      <w:lvl w:ilvl="8">
        <w:start w:val="1"/>
        <w:numFmt w:val="none"/>
        <w:suff w:val="nothing"/>
        <w:lvlText w:val="Undefined"/>
        <w:lvlJc w:val="left"/>
        <w:pPr>
          <w:ind w:left="0" w:firstLine="0"/>
        </w:pPr>
        <w:rPr>
          <w:rFonts w:hint="default"/>
        </w:rPr>
      </w:lvl>
    </w:lvlOverride>
  </w:num>
  <w:num w:numId="6" w16cid:durableId="240068308">
    <w:abstractNumId w:val="45"/>
  </w:num>
  <w:num w:numId="7" w16cid:durableId="20579246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27"/>
    </w:lvlOverride>
  </w:num>
  <w:num w:numId="8" w16cid:durableId="847329079">
    <w:abstractNumId w:val="21"/>
  </w:num>
  <w:num w:numId="9" w16cid:durableId="1874539586">
    <w:abstractNumId w:val="4"/>
  </w:num>
  <w:num w:numId="10" w16cid:durableId="169178724">
    <w:abstractNumId w:val="37"/>
  </w:num>
  <w:num w:numId="11" w16cid:durableId="2100179461">
    <w:abstractNumId w:val="11"/>
  </w:num>
  <w:num w:numId="12" w16cid:durableId="385836788">
    <w:abstractNumId w:val="17"/>
  </w:num>
  <w:num w:numId="13" w16cid:durableId="1754158305">
    <w:abstractNumId w:val="19"/>
  </w:num>
  <w:num w:numId="14" w16cid:durableId="1904221794">
    <w:abstractNumId w:val="20"/>
  </w:num>
  <w:num w:numId="15" w16cid:durableId="1154108964">
    <w:abstractNumId w:val="23"/>
  </w:num>
  <w:num w:numId="16" w16cid:durableId="634264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785469">
    <w:abstractNumId w:val="44"/>
  </w:num>
  <w:num w:numId="18" w16cid:durableId="1215777051">
    <w:abstractNumId w:val="5"/>
  </w:num>
  <w:num w:numId="19" w16cid:durableId="20371922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25525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58464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6885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32110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8758469">
    <w:abstractNumId w:val="28"/>
  </w:num>
  <w:num w:numId="25" w16cid:durableId="1002316034">
    <w:abstractNumId w:val="36"/>
  </w:num>
  <w:num w:numId="26" w16cid:durableId="2034794235">
    <w:abstractNumId w:val="34"/>
  </w:num>
  <w:num w:numId="27" w16cid:durableId="1246381813">
    <w:abstractNumId w:val="46"/>
  </w:num>
  <w:num w:numId="28" w16cid:durableId="1675764495">
    <w:abstractNumId w:val="39"/>
  </w:num>
  <w:num w:numId="29" w16cid:durableId="382021940">
    <w:abstractNumId w:val="27"/>
  </w:num>
  <w:num w:numId="30" w16cid:durableId="1515256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37138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08664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15334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61732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45659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1182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84123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53287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02148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3614596">
    <w:abstractNumId w:val="7"/>
  </w:num>
  <w:num w:numId="41" w16cid:durableId="981541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5074307">
    <w:abstractNumId w:val="51"/>
  </w:num>
  <w:num w:numId="43" w16cid:durableId="1402479777">
    <w:abstractNumId w:val="6"/>
  </w:num>
  <w:num w:numId="44" w16cid:durableId="1746802315">
    <w:abstractNumId w:val="35"/>
  </w:num>
  <w:num w:numId="45" w16cid:durableId="1055661425">
    <w:abstractNumId w:val="41"/>
  </w:num>
  <w:num w:numId="46" w16cid:durableId="466976195">
    <w:abstractNumId w:val="10"/>
  </w:num>
  <w:num w:numId="47" w16cid:durableId="1973003">
    <w:abstractNumId w:val="13"/>
  </w:num>
  <w:num w:numId="48" w16cid:durableId="413672318">
    <w:abstractNumId w:val="25"/>
  </w:num>
  <w:num w:numId="49" w16cid:durableId="1772965499">
    <w:abstractNumId w:val="24"/>
  </w:num>
  <w:num w:numId="50" w16cid:durableId="537010939">
    <w:abstractNumId w:val="26"/>
  </w:num>
  <w:num w:numId="51" w16cid:durableId="1366827627">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9717479">
    <w:abstractNumId w:val="15"/>
  </w:num>
  <w:num w:numId="53" w16cid:durableId="1514565399">
    <w:abstractNumId w:val="15"/>
    <w:lvlOverride w:ilvl="0">
      <w:startOverride w:val="5"/>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8923883">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61942553">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14683209">
    <w:abstractNumId w:val="9"/>
  </w:num>
  <w:num w:numId="57" w16cid:durableId="302538178">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55006813">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20141126">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268550">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20342972">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17373169">
    <w:abstractNumId w:val="55"/>
  </w:num>
  <w:num w:numId="63" w16cid:durableId="1124229602">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51699899">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72431762">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341001">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4790606">
    <w:abstractNumId w:val="1"/>
  </w:num>
  <w:num w:numId="68" w16cid:durableId="1128938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078886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4330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43832338">
    <w:abstractNumId w:val="22"/>
  </w:num>
  <w:num w:numId="72" w16cid:durableId="908928621">
    <w:abstractNumId w:val="33"/>
  </w:num>
  <w:num w:numId="73" w16cid:durableId="1486118219">
    <w:abstractNumId w:val="30"/>
  </w:num>
  <w:num w:numId="74" w16cid:durableId="10696807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98075379">
    <w:abstractNumId w:val="43"/>
  </w:num>
  <w:num w:numId="76" w16cid:durableId="2046975655">
    <w:abstractNumId w:val="3"/>
  </w:num>
  <w:num w:numId="77" w16cid:durableId="576674077">
    <w:abstractNumId w:val="54"/>
  </w:num>
  <w:num w:numId="78" w16cid:durableId="1467816207">
    <w:abstractNumId w:val="8"/>
  </w:num>
  <w:num w:numId="79" w16cid:durableId="181212173">
    <w:abstractNumId w:val="5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A6"/>
    <w:rsid w:val="00001068"/>
    <w:rsid w:val="00003F54"/>
    <w:rsid w:val="00005689"/>
    <w:rsid w:val="00005884"/>
    <w:rsid w:val="0000591A"/>
    <w:rsid w:val="00005E6C"/>
    <w:rsid w:val="00006808"/>
    <w:rsid w:val="00006C16"/>
    <w:rsid w:val="0000748F"/>
    <w:rsid w:val="00007582"/>
    <w:rsid w:val="00007DF0"/>
    <w:rsid w:val="0001093A"/>
    <w:rsid w:val="00011654"/>
    <w:rsid w:val="0001324B"/>
    <w:rsid w:val="00013A76"/>
    <w:rsid w:val="00014EE1"/>
    <w:rsid w:val="00015EA1"/>
    <w:rsid w:val="00016EF2"/>
    <w:rsid w:val="000218EA"/>
    <w:rsid w:val="00021A8B"/>
    <w:rsid w:val="00021BD3"/>
    <w:rsid w:val="00023406"/>
    <w:rsid w:val="0002363D"/>
    <w:rsid w:val="000247CD"/>
    <w:rsid w:val="00024BDD"/>
    <w:rsid w:val="00026511"/>
    <w:rsid w:val="00030166"/>
    <w:rsid w:val="0003020E"/>
    <w:rsid w:val="00030428"/>
    <w:rsid w:val="00031337"/>
    <w:rsid w:val="0003213F"/>
    <w:rsid w:val="00032C45"/>
    <w:rsid w:val="00032C8F"/>
    <w:rsid w:val="0003365B"/>
    <w:rsid w:val="00034F86"/>
    <w:rsid w:val="00037989"/>
    <w:rsid w:val="0004066F"/>
    <w:rsid w:val="00042CCC"/>
    <w:rsid w:val="00042CE0"/>
    <w:rsid w:val="000438E1"/>
    <w:rsid w:val="0004425C"/>
    <w:rsid w:val="000447B1"/>
    <w:rsid w:val="000450A3"/>
    <w:rsid w:val="00045FAE"/>
    <w:rsid w:val="00046E6A"/>
    <w:rsid w:val="00047DF4"/>
    <w:rsid w:val="00050E58"/>
    <w:rsid w:val="0005123E"/>
    <w:rsid w:val="0005252D"/>
    <w:rsid w:val="000528EA"/>
    <w:rsid w:val="000532B7"/>
    <w:rsid w:val="00054017"/>
    <w:rsid w:val="0005538A"/>
    <w:rsid w:val="00057A25"/>
    <w:rsid w:val="00063190"/>
    <w:rsid w:val="00063FB2"/>
    <w:rsid w:val="00064009"/>
    <w:rsid w:val="000656E5"/>
    <w:rsid w:val="00065FF3"/>
    <w:rsid w:val="00066946"/>
    <w:rsid w:val="00067B46"/>
    <w:rsid w:val="000700F1"/>
    <w:rsid w:val="000707B3"/>
    <w:rsid w:val="00070871"/>
    <w:rsid w:val="00070A6A"/>
    <w:rsid w:val="000710FD"/>
    <w:rsid w:val="00071D38"/>
    <w:rsid w:val="0007252E"/>
    <w:rsid w:val="00072D00"/>
    <w:rsid w:val="0007324F"/>
    <w:rsid w:val="000742C2"/>
    <w:rsid w:val="000751B3"/>
    <w:rsid w:val="00075E7E"/>
    <w:rsid w:val="0007656F"/>
    <w:rsid w:val="0007663A"/>
    <w:rsid w:val="00076C8E"/>
    <w:rsid w:val="00077EBF"/>
    <w:rsid w:val="00080364"/>
    <w:rsid w:val="00080A18"/>
    <w:rsid w:val="00080B28"/>
    <w:rsid w:val="00080E1E"/>
    <w:rsid w:val="000815C3"/>
    <w:rsid w:val="00081722"/>
    <w:rsid w:val="00081E1F"/>
    <w:rsid w:val="00084004"/>
    <w:rsid w:val="0008430F"/>
    <w:rsid w:val="00084C20"/>
    <w:rsid w:val="00085455"/>
    <w:rsid w:val="000856B3"/>
    <w:rsid w:val="000865AF"/>
    <w:rsid w:val="0008697A"/>
    <w:rsid w:val="00090226"/>
    <w:rsid w:val="00090CD0"/>
    <w:rsid w:val="0009108E"/>
    <w:rsid w:val="00093275"/>
    <w:rsid w:val="00093FE2"/>
    <w:rsid w:val="0009433E"/>
    <w:rsid w:val="000944DB"/>
    <w:rsid w:val="000959A1"/>
    <w:rsid w:val="00096854"/>
    <w:rsid w:val="000969FD"/>
    <w:rsid w:val="00096CD4"/>
    <w:rsid w:val="00097787"/>
    <w:rsid w:val="0009786D"/>
    <w:rsid w:val="00097E7D"/>
    <w:rsid w:val="000A09E5"/>
    <w:rsid w:val="000A0E1B"/>
    <w:rsid w:val="000A12AC"/>
    <w:rsid w:val="000A1617"/>
    <w:rsid w:val="000A2224"/>
    <w:rsid w:val="000A22E5"/>
    <w:rsid w:val="000A493A"/>
    <w:rsid w:val="000A511F"/>
    <w:rsid w:val="000A6122"/>
    <w:rsid w:val="000A709E"/>
    <w:rsid w:val="000A7776"/>
    <w:rsid w:val="000A7E06"/>
    <w:rsid w:val="000B0D0C"/>
    <w:rsid w:val="000B0D25"/>
    <w:rsid w:val="000B1780"/>
    <w:rsid w:val="000B1C90"/>
    <w:rsid w:val="000B1F4B"/>
    <w:rsid w:val="000B2350"/>
    <w:rsid w:val="000B2A60"/>
    <w:rsid w:val="000B2CB8"/>
    <w:rsid w:val="000B3958"/>
    <w:rsid w:val="000B3C95"/>
    <w:rsid w:val="000B4C01"/>
    <w:rsid w:val="000B74EF"/>
    <w:rsid w:val="000B79EB"/>
    <w:rsid w:val="000B7E87"/>
    <w:rsid w:val="000C0593"/>
    <w:rsid w:val="000C1127"/>
    <w:rsid w:val="000C1454"/>
    <w:rsid w:val="000C2097"/>
    <w:rsid w:val="000C2754"/>
    <w:rsid w:val="000C2CB8"/>
    <w:rsid w:val="000C4F02"/>
    <w:rsid w:val="000C5BD5"/>
    <w:rsid w:val="000C6FCC"/>
    <w:rsid w:val="000C78F9"/>
    <w:rsid w:val="000C7F7E"/>
    <w:rsid w:val="000D0D56"/>
    <w:rsid w:val="000D0FD0"/>
    <w:rsid w:val="000D2093"/>
    <w:rsid w:val="000D25C7"/>
    <w:rsid w:val="000D2850"/>
    <w:rsid w:val="000D35E9"/>
    <w:rsid w:val="000D4028"/>
    <w:rsid w:val="000D5166"/>
    <w:rsid w:val="000D516C"/>
    <w:rsid w:val="000D719E"/>
    <w:rsid w:val="000D7E11"/>
    <w:rsid w:val="000E1B0C"/>
    <w:rsid w:val="000E1B4A"/>
    <w:rsid w:val="000E220B"/>
    <w:rsid w:val="000E45CE"/>
    <w:rsid w:val="000E48FF"/>
    <w:rsid w:val="000E4E36"/>
    <w:rsid w:val="000E6D8B"/>
    <w:rsid w:val="000E6F8A"/>
    <w:rsid w:val="000F081F"/>
    <w:rsid w:val="000F09E7"/>
    <w:rsid w:val="000F2260"/>
    <w:rsid w:val="000F2C9D"/>
    <w:rsid w:val="000F3A07"/>
    <w:rsid w:val="000F4142"/>
    <w:rsid w:val="000F46C8"/>
    <w:rsid w:val="000F5632"/>
    <w:rsid w:val="000F619C"/>
    <w:rsid w:val="000F63A4"/>
    <w:rsid w:val="000F747D"/>
    <w:rsid w:val="000F773A"/>
    <w:rsid w:val="000F7851"/>
    <w:rsid w:val="001015B9"/>
    <w:rsid w:val="0010186C"/>
    <w:rsid w:val="00102C3C"/>
    <w:rsid w:val="00103F70"/>
    <w:rsid w:val="0011045A"/>
    <w:rsid w:val="00111386"/>
    <w:rsid w:val="00111D3D"/>
    <w:rsid w:val="00112488"/>
    <w:rsid w:val="001128B2"/>
    <w:rsid w:val="00112A35"/>
    <w:rsid w:val="001143A5"/>
    <w:rsid w:val="00115996"/>
    <w:rsid w:val="00116F58"/>
    <w:rsid w:val="0011738E"/>
    <w:rsid w:val="00117B1E"/>
    <w:rsid w:val="00117D3A"/>
    <w:rsid w:val="0012036C"/>
    <w:rsid w:val="001203B7"/>
    <w:rsid w:val="00120975"/>
    <w:rsid w:val="00120EDE"/>
    <w:rsid w:val="00121EBC"/>
    <w:rsid w:val="00122254"/>
    <w:rsid w:val="0012266E"/>
    <w:rsid w:val="00123113"/>
    <w:rsid w:val="00123B5B"/>
    <w:rsid w:val="00123B7E"/>
    <w:rsid w:val="00124830"/>
    <w:rsid w:val="00124ACC"/>
    <w:rsid w:val="00124CD6"/>
    <w:rsid w:val="001258DB"/>
    <w:rsid w:val="00126D1D"/>
    <w:rsid w:val="0012753A"/>
    <w:rsid w:val="00127EE1"/>
    <w:rsid w:val="0013095B"/>
    <w:rsid w:val="00131C4F"/>
    <w:rsid w:val="00131F3C"/>
    <w:rsid w:val="00132854"/>
    <w:rsid w:val="00134AC7"/>
    <w:rsid w:val="00134FF6"/>
    <w:rsid w:val="001354A6"/>
    <w:rsid w:val="001359CE"/>
    <w:rsid w:val="00141362"/>
    <w:rsid w:val="0014146C"/>
    <w:rsid w:val="00141B77"/>
    <w:rsid w:val="00141FFA"/>
    <w:rsid w:val="00142B36"/>
    <w:rsid w:val="00142CA2"/>
    <w:rsid w:val="00142F13"/>
    <w:rsid w:val="0014390F"/>
    <w:rsid w:val="00143C07"/>
    <w:rsid w:val="00146F0D"/>
    <w:rsid w:val="00146F53"/>
    <w:rsid w:val="00147391"/>
    <w:rsid w:val="001476D4"/>
    <w:rsid w:val="00150F23"/>
    <w:rsid w:val="00152532"/>
    <w:rsid w:val="0015417E"/>
    <w:rsid w:val="001550E9"/>
    <w:rsid w:val="001555AF"/>
    <w:rsid w:val="00155B4E"/>
    <w:rsid w:val="0016086B"/>
    <w:rsid w:val="001608BF"/>
    <w:rsid w:val="001611B4"/>
    <w:rsid w:val="00161D99"/>
    <w:rsid w:val="00162C3A"/>
    <w:rsid w:val="00165666"/>
    <w:rsid w:val="00165D7C"/>
    <w:rsid w:val="00166EFA"/>
    <w:rsid w:val="00167464"/>
    <w:rsid w:val="00167E2A"/>
    <w:rsid w:val="00167FFA"/>
    <w:rsid w:val="0017094B"/>
    <w:rsid w:val="00173DED"/>
    <w:rsid w:val="001755A8"/>
    <w:rsid w:val="00175FAD"/>
    <w:rsid w:val="0017697E"/>
    <w:rsid w:val="00176E39"/>
    <w:rsid w:val="00176EBF"/>
    <w:rsid w:val="00177466"/>
    <w:rsid w:val="001779EE"/>
    <w:rsid w:val="00177C3A"/>
    <w:rsid w:val="00177ED8"/>
    <w:rsid w:val="001824CD"/>
    <w:rsid w:val="00182697"/>
    <w:rsid w:val="001829A6"/>
    <w:rsid w:val="00183066"/>
    <w:rsid w:val="0018326A"/>
    <w:rsid w:val="00183782"/>
    <w:rsid w:val="00183DF8"/>
    <w:rsid w:val="00183E9A"/>
    <w:rsid w:val="00186ACB"/>
    <w:rsid w:val="00187E59"/>
    <w:rsid w:val="00187F69"/>
    <w:rsid w:val="00190ED0"/>
    <w:rsid w:val="00192776"/>
    <w:rsid w:val="00192E6B"/>
    <w:rsid w:val="001932E0"/>
    <w:rsid w:val="001941BA"/>
    <w:rsid w:val="00194694"/>
    <w:rsid w:val="001950EC"/>
    <w:rsid w:val="00196713"/>
    <w:rsid w:val="00196754"/>
    <w:rsid w:val="00197EE7"/>
    <w:rsid w:val="001A13E0"/>
    <w:rsid w:val="001A1C79"/>
    <w:rsid w:val="001A1CBA"/>
    <w:rsid w:val="001A3EA5"/>
    <w:rsid w:val="001A50A9"/>
    <w:rsid w:val="001A55AF"/>
    <w:rsid w:val="001A61A1"/>
    <w:rsid w:val="001A625A"/>
    <w:rsid w:val="001B08C9"/>
    <w:rsid w:val="001B0D65"/>
    <w:rsid w:val="001B1528"/>
    <w:rsid w:val="001B1843"/>
    <w:rsid w:val="001B1962"/>
    <w:rsid w:val="001B22DC"/>
    <w:rsid w:val="001B289C"/>
    <w:rsid w:val="001B3144"/>
    <w:rsid w:val="001B5D03"/>
    <w:rsid w:val="001B5D2C"/>
    <w:rsid w:val="001C12C2"/>
    <w:rsid w:val="001C1350"/>
    <w:rsid w:val="001C2311"/>
    <w:rsid w:val="001C2A8E"/>
    <w:rsid w:val="001C2B38"/>
    <w:rsid w:val="001C3744"/>
    <w:rsid w:val="001C3A92"/>
    <w:rsid w:val="001C3D92"/>
    <w:rsid w:val="001C4242"/>
    <w:rsid w:val="001C436E"/>
    <w:rsid w:val="001C4E94"/>
    <w:rsid w:val="001C4EE5"/>
    <w:rsid w:val="001C5514"/>
    <w:rsid w:val="001C5AD3"/>
    <w:rsid w:val="001C712D"/>
    <w:rsid w:val="001C71B8"/>
    <w:rsid w:val="001C794E"/>
    <w:rsid w:val="001C7E49"/>
    <w:rsid w:val="001D038F"/>
    <w:rsid w:val="001D2188"/>
    <w:rsid w:val="001D2AC5"/>
    <w:rsid w:val="001D546B"/>
    <w:rsid w:val="001D5528"/>
    <w:rsid w:val="001D5CFB"/>
    <w:rsid w:val="001D6EDB"/>
    <w:rsid w:val="001E131E"/>
    <w:rsid w:val="001E175E"/>
    <w:rsid w:val="001E359F"/>
    <w:rsid w:val="001E60AC"/>
    <w:rsid w:val="001E6DDE"/>
    <w:rsid w:val="001E6E67"/>
    <w:rsid w:val="001E7D6C"/>
    <w:rsid w:val="001F0A18"/>
    <w:rsid w:val="001F1F05"/>
    <w:rsid w:val="001F214A"/>
    <w:rsid w:val="001F21E4"/>
    <w:rsid w:val="001F2238"/>
    <w:rsid w:val="001F2BD9"/>
    <w:rsid w:val="001F2CCD"/>
    <w:rsid w:val="001F3390"/>
    <w:rsid w:val="001F4BC0"/>
    <w:rsid w:val="001F5B37"/>
    <w:rsid w:val="001F722A"/>
    <w:rsid w:val="001F7FEF"/>
    <w:rsid w:val="00202323"/>
    <w:rsid w:val="00202CFE"/>
    <w:rsid w:val="002036C1"/>
    <w:rsid w:val="00203D4D"/>
    <w:rsid w:val="002045E6"/>
    <w:rsid w:val="00204DEB"/>
    <w:rsid w:val="00205BE8"/>
    <w:rsid w:val="0020725D"/>
    <w:rsid w:val="00210C07"/>
    <w:rsid w:val="00212108"/>
    <w:rsid w:val="00212BC6"/>
    <w:rsid w:val="00212E61"/>
    <w:rsid w:val="00213499"/>
    <w:rsid w:val="00214037"/>
    <w:rsid w:val="00214143"/>
    <w:rsid w:val="00216B20"/>
    <w:rsid w:val="00220403"/>
    <w:rsid w:val="0022390B"/>
    <w:rsid w:val="00225875"/>
    <w:rsid w:val="002261C0"/>
    <w:rsid w:val="00232D72"/>
    <w:rsid w:val="00232E0F"/>
    <w:rsid w:val="0023436A"/>
    <w:rsid w:val="00234FE4"/>
    <w:rsid w:val="00235103"/>
    <w:rsid w:val="00235D71"/>
    <w:rsid w:val="00236101"/>
    <w:rsid w:val="00236E91"/>
    <w:rsid w:val="002403EA"/>
    <w:rsid w:val="00241911"/>
    <w:rsid w:val="00242E28"/>
    <w:rsid w:val="00243AA8"/>
    <w:rsid w:val="00243E24"/>
    <w:rsid w:val="002444FB"/>
    <w:rsid w:val="00247FC9"/>
    <w:rsid w:val="002512FB"/>
    <w:rsid w:val="00251855"/>
    <w:rsid w:val="0025275C"/>
    <w:rsid w:val="00252C33"/>
    <w:rsid w:val="002536C5"/>
    <w:rsid w:val="0025419F"/>
    <w:rsid w:val="00256EAD"/>
    <w:rsid w:val="00256FC4"/>
    <w:rsid w:val="0026037D"/>
    <w:rsid w:val="0026042B"/>
    <w:rsid w:val="00260904"/>
    <w:rsid w:val="0026146C"/>
    <w:rsid w:val="00262FF9"/>
    <w:rsid w:val="00263FE0"/>
    <w:rsid w:val="002647B7"/>
    <w:rsid w:val="00264D92"/>
    <w:rsid w:val="002654EC"/>
    <w:rsid w:val="002654EE"/>
    <w:rsid w:val="002664D5"/>
    <w:rsid w:val="00267353"/>
    <w:rsid w:val="00267997"/>
    <w:rsid w:val="00270046"/>
    <w:rsid w:val="00270345"/>
    <w:rsid w:val="002708BC"/>
    <w:rsid w:val="002725AE"/>
    <w:rsid w:val="0027337D"/>
    <w:rsid w:val="00273849"/>
    <w:rsid w:val="00273BD2"/>
    <w:rsid w:val="0027419C"/>
    <w:rsid w:val="00274405"/>
    <w:rsid w:val="00274974"/>
    <w:rsid w:val="00275B8C"/>
    <w:rsid w:val="00275F2F"/>
    <w:rsid w:val="00275F5E"/>
    <w:rsid w:val="0027672E"/>
    <w:rsid w:val="00277921"/>
    <w:rsid w:val="00277F77"/>
    <w:rsid w:val="00281643"/>
    <w:rsid w:val="0028215D"/>
    <w:rsid w:val="002831D8"/>
    <w:rsid w:val="002840C4"/>
    <w:rsid w:val="00286C15"/>
    <w:rsid w:val="00286DB1"/>
    <w:rsid w:val="00287766"/>
    <w:rsid w:val="00287A86"/>
    <w:rsid w:val="002918F5"/>
    <w:rsid w:val="00291EAF"/>
    <w:rsid w:val="00293F70"/>
    <w:rsid w:val="00294C36"/>
    <w:rsid w:val="0029751A"/>
    <w:rsid w:val="00297B01"/>
    <w:rsid w:val="002A0E37"/>
    <w:rsid w:val="002A3721"/>
    <w:rsid w:val="002A3A9F"/>
    <w:rsid w:val="002A45A5"/>
    <w:rsid w:val="002A45CB"/>
    <w:rsid w:val="002A46D1"/>
    <w:rsid w:val="002A4BAC"/>
    <w:rsid w:val="002A4C46"/>
    <w:rsid w:val="002A4D28"/>
    <w:rsid w:val="002A6391"/>
    <w:rsid w:val="002A70F8"/>
    <w:rsid w:val="002B15B4"/>
    <w:rsid w:val="002B4AF1"/>
    <w:rsid w:val="002B7A3C"/>
    <w:rsid w:val="002B7D2F"/>
    <w:rsid w:val="002C0320"/>
    <w:rsid w:val="002C05B9"/>
    <w:rsid w:val="002C05D8"/>
    <w:rsid w:val="002C0D70"/>
    <w:rsid w:val="002C1100"/>
    <w:rsid w:val="002C2BCD"/>
    <w:rsid w:val="002C3111"/>
    <w:rsid w:val="002C465E"/>
    <w:rsid w:val="002C501A"/>
    <w:rsid w:val="002C5ED1"/>
    <w:rsid w:val="002C63B1"/>
    <w:rsid w:val="002C6CE6"/>
    <w:rsid w:val="002C78A2"/>
    <w:rsid w:val="002D0054"/>
    <w:rsid w:val="002D0D53"/>
    <w:rsid w:val="002D1A00"/>
    <w:rsid w:val="002D3040"/>
    <w:rsid w:val="002D3A62"/>
    <w:rsid w:val="002D5346"/>
    <w:rsid w:val="002D551B"/>
    <w:rsid w:val="002D5B6F"/>
    <w:rsid w:val="002D69D1"/>
    <w:rsid w:val="002D7CBD"/>
    <w:rsid w:val="002E117A"/>
    <w:rsid w:val="002E20AF"/>
    <w:rsid w:val="002E22B4"/>
    <w:rsid w:val="002E282B"/>
    <w:rsid w:val="002E2E4E"/>
    <w:rsid w:val="002E4456"/>
    <w:rsid w:val="002E47EC"/>
    <w:rsid w:val="002E4943"/>
    <w:rsid w:val="002E4C1A"/>
    <w:rsid w:val="002E50A3"/>
    <w:rsid w:val="002E7ECB"/>
    <w:rsid w:val="002F06D8"/>
    <w:rsid w:val="002F08A6"/>
    <w:rsid w:val="002F0DE4"/>
    <w:rsid w:val="002F1226"/>
    <w:rsid w:val="002F2C9B"/>
    <w:rsid w:val="002F3DC9"/>
    <w:rsid w:val="002F498C"/>
    <w:rsid w:val="002F4C77"/>
    <w:rsid w:val="002F510A"/>
    <w:rsid w:val="002F521A"/>
    <w:rsid w:val="002F5575"/>
    <w:rsid w:val="002F5857"/>
    <w:rsid w:val="002F5E6C"/>
    <w:rsid w:val="002F7600"/>
    <w:rsid w:val="0030042D"/>
    <w:rsid w:val="0030084D"/>
    <w:rsid w:val="00301813"/>
    <w:rsid w:val="003024A3"/>
    <w:rsid w:val="003026E1"/>
    <w:rsid w:val="0030424A"/>
    <w:rsid w:val="003052BB"/>
    <w:rsid w:val="0030612C"/>
    <w:rsid w:val="00306934"/>
    <w:rsid w:val="0030743A"/>
    <w:rsid w:val="0031091F"/>
    <w:rsid w:val="003110E9"/>
    <w:rsid w:val="00311391"/>
    <w:rsid w:val="00311C8C"/>
    <w:rsid w:val="003125FF"/>
    <w:rsid w:val="00312959"/>
    <w:rsid w:val="00312F76"/>
    <w:rsid w:val="00313D87"/>
    <w:rsid w:val="00315508"/>
    <w:rsid w:val="00315DCA"/>
    <w:rsid w:val="003175DF"/>
    <w:rsid w:val="00320088"/>
    <w:rsid w:val="0032014C"/>
    <w:rsid w:val="003201AE"/>
    <w:rsid w:val="00321CA4"/>
    <w:rsid w:val="00322B78"/>
    <w:rsid w:val="00322CD7"/>
    <w:rsid w:val="00322FD6"/>
    <w:rsid w:val="0032325C"/>
    <w:rsid w:val="00323DB4"/>
    <w:rsid w:val="00324D8C"/>
    <w:rsid w:val="003258C2"/>
    <w:rsid w:val="00326B3C"/>
    <w:rsid w:val="003312E5"/>
    <w:rsid w:val="00331AF0"/>
    <w:rsid w:val="003322B6"/>
    <w:rsid w:val="00332ABA"/>
    <w:rsid w:val="00333474"/>
    <w:rsid w:val="003342FE"/>
    <w:rsid w:val="00334540"/>
    <w:rsid w:val="00334945"/>
    <w:rsid w:val="0033610B"/>
    <w:rsid w:val="00336EAD"/>
    <w:rsid w:val="003372A0"/>
    <w:rsid w:val="00340E28"/>
    <w:rsid w:val="0034373D"/>
    <w:rsid w:val="00344180"/>
    <w:rsid w:val="003454BB"/>
    <w:rsid w:val="003469E8"/>
    <w:rsid w:val="0035013D"/>
    <w:rsid w:val="0035014B"/>
    <w:rsid w:val="00350180"/>
    <w:rsid w:val="00350455"/>
    <w:rsid w:val="0035130F"/>
    <w:rsid w:val="0035278B"/>
    <w:rsid w:val="003531F3"/>
    <w:rsid w:val="00353B25"/>
    <w:rsid w:val="00354CE0"/>
    <w:rsid w:val="00355663"/>
    <w:rsid w:val="00356D86"/>
    <w:rsid w:val="00357414"/>
    <w:rsid w:val="00357DE8"/>
    <w:rsid w:val="00361B19"/>
    <w:rsid w:val="00361E81"/>
    <w:rsid w:val="0036348C"/>
    <w:rsid w:val="00365834"/>
    <w:rsid w:val="00365C94"/>
    <w:rsid w:val="00366681"/>
    <w:rsid w:val="00367851"/>
    <w:rsid w:val="00367CF9"/>
    <w:rsid w:val="00367F37"/>
    <w:rsid w:val="003711EA"/>
    <w:rsid w:val="00371EB4"/>
    <w:rsid w:val="00372C04"/>
    <w:rsid w:val="0037379D"/>
    <w:rsid w:val="003745DC"/>
    <w:rsid w:val="003755BC"/>
    <w:rsid w:val="00376821"/>
    <w:rsid w:val="003776D3"/>
    <w:rsid w:val="00377F22"/>
    <w:rsid w:val="00380E1D"/>
    <w:rsid w:val="00380EB4"/>
    <w:rsid w:val="00382A57"/>
    <w:rsid w:val="003832B4"/>
    <w:rsid w:val="00385946"/>
    <w:rsid w:val="0038721B"/>
    <w:rsid w:val="0038787A"/>
    <w:rsid w:val="00390010"/>
    <w:rsid w:val="00390049"/>
    <w:rsid w:val="00390514"/>
    <w:rsid w:val="00390680"/>
    <w:rsid w:val="00390E10"/>
    <w:rsid w:val="00391032"/>
    <w:rsid w:val="00391E04"/>
    <w:rsid w:val="00393C34"/>
    <w:rsid w:val="00394229"/>
    <w:rsid w:val="003A0260"/>
    <w:rsid w:val="003A032D"/>
    <w:rsid w:val="003A03DB"/>
    <w:rsid w:val="003A05B8"/>
    <w:rsid w:val="003A1456"/>
    <w:rsid w:val="003A5C0A"/>
    <w:rsid w:val="003A632C"/>
    <w:rsid w:val="003A6391"/>
    <w:rsid w:val="003A669A"/>
    <w:rsid w:val="003A6CF8"/>
    <w:rsid w:val="003A6ECC"/>
    <w:rsid w:val="003B13BA"/>
    <w:rsid w:val="003B26B8"/>
    <w:rsid w:val="003B420E"/>
    <w:rsid w:val="003B64DB"/>
    <w:rsid w:val="003B6ECD"/>
    <w:rsid w:val="003B774D"/>
    <w:rsid w:val="003B7B75"/>
    <w:rsid w:val="003C0F38"/>
    <w:rsid w:val="003C2C19"/>
    <w:rsid w:val="003C4327"/>
    <w:rsid w:val="003C5B50"/>
    <w:rsid w:val="003C5D41"/>
    <w:rsid w:val="003C615C"/>
    <w:rsid w:val="003C6E9E"/>
    <w:rsid w:val="003C72D8"/>
    <w:rsid w:val="003D1B78"/>
    <w:rsid w:val="003D2BB4"/>
    <w:rsid w:val="003D35DF"/>
    <w:rsid w:val="003D4406"/>
    <w:rsid w:val="003D4622"/>
    <w:rsid w:val="003D5B83"/>
    <w:rsid w:val="003D687F"/>
    <w:rsid w:val="003D71C8"/>
    <w:rsid w:val="003D7BBB"/>
    <w:rsid w:val="003E0F22"/>
    <w:rsid w:val="003E27F7"/>
    <w:rsid w:val="003E3069"/>
    <w:rsid w:val="003E4B9C"/>
    <w:rsid w:val="003E4F8E"/>
    <w:rsid w:val="003E5850"/>
    <w:rsid w:val="003E6B86"/>
    <w:rsid w:val="003F056E"/>
    <w:rsid w:val="003F0BD7"/>
    <w:rsid w:val="003F1620"/>
    <w:rsid w:val="003F2630"/>
    <w:rsid w:val="003F28CF"/>
    <w:rsid w:val="003F29E3"/>
    <w:rsid w:val="003F3870"/>
    <w:rsid w:val="003F561F"/>
    <w:rsid w:val="003F5C1C"/>
    <w:rsid w:val="003F7116"/>
    <w:rsid w:val="003F74DC"/>
    <w:rsid w:val="003F76FE"/>
    <w:rsid w:val="003F7CEE"/>
    <w:rsid w:val="00401AF3"/>
    <w:rsid w:val="00401E4B"/>
    <w:rsid w:val="00403294"/>
    <w:rsid w:val="00404E0D"/>
    <w:rsid w:val="00405AE1"/>
    <w:rsid w:val="00405D4B"/>
    <w:rsid w:val="0040674C"/>
    <w:rsid w:val="00410485"/>
    <w:rsid w:val="00410F8F"/>
    <w:rsid w:val="004114C7"/>
    <w:rsid w:val="004121F0"/>
    <w:rsid w:val="0041308F"/>
    <w:rsid w:val="0041347B"/>
    <w:rsid w:val="00415CBD"/>
    <w:rsid w:val="00416FD2"/>
    <w:rsid w:val="004172C7"/>
    <w:rsid w:val="00417B73"/>
    <w:rsid w:val="00417BEC"/>
    <w:rsid w:val="00421BFA"/>
    <w:rsid w:val="00422930"/>
    <w:rsid w:val="0042470A"/>
    <w:rsid w:val="0042583D"/>
    <w:rsid w:val="00427195"/>
    <w:rsid w:val="004274A4"/>
    <w:rsid w:val="004302E4"/>
    <w:rsid w:val="00431CE7"/>
    <w:rsid w:val="00431E07"/>
    <w:rsid w:val="004321C7"/>
    <w:rsid w:val="004325F0"/>
    <w:rsid w:val="00435AB1"/>
    <w:rsid w:val="00436E05"/>
    <w:rsid w:val="004410C7"/>
    <w:rsid w:val="004412E7"/>
    <w:rsid w:val="00441810"/>
    <w:rsid w:val="004427A1"/>
    <w:rsid w:val="00442D1B"/>
    <w:rsid w:val="00443161"/>
    <w:rsid w:val="00443179"/>
    <w:rsid w:val="004436DF"/>
    <w:rsid w:val="00443E1D"/>
    <w:rsid w:val="00444BD4"/>
    <w:rsid w:val="0044608E"/>
    <w:rsid w:val="0044760D"/>
    <w:rsid w:val="004477D0"/>
    <w:rsid w:val="00450E5F"/>
    <w:rsid w:val="0045296F"/>
    <w:rsid w:val="00452A81"/>
    <w:rsid w:val="004531CE"/>
    <w:rsid w:val="0045570C"/>
    <w:rsid w:val="00455BF4"/>
    <w:rsid w:val="0045735E"/>
    <w:rsid w:val="00460BA4"/>
    <w:rsid w:val="00460C5A"/>
    <w:rsid w:val="00461BB3"/>
    <w:rsid w:val="004621D6"/>
    <w:rsid w:val="00462DCD"/>
    <w:rsid w:val="00463EEE"/>
    <w:rsid w:val="00464F9D"/>
    <w:rsid w:val="00465F4A"/>
    <w:rsid w:val="004668CE"/>
    <w:rsid w:val="00466B18"/>
    <w:rsid w:val="004678DB"/>
    <w:rsid w:val="0046790C"/>
    <w:rsid w:val="00470907"/>
    <w:rsid w:val="004717D0"/>
    <w:rsid w:val="00473938"/>
    <w:rsid w:val="0047420B"/>
    <w:rsid w:val="00475CAA"/>
    <w:rsid w:val="00477F54"/>
    <w:rsid w:val="0048083E"/>
    <w:rsid w:val="0048142B"/>
    <w:rsid w:val="00481572"/>
    <w:rsid w:val="00481C6A"/>
    <w:rsid w:val="00482B2A"/>
    <w:rsid w:val="00483386"/>
    <w:rsid w:val="004835E4"/>
    <w:rsid w:val="004842F9"/>
    <w:rsid w:val="00485190"/>
    <w:rsid w:val="00485FC8"/>
    <w:rsid w:val="00487144"/>
    <w:rsid w:val="00487767"/>
    <w:rsid w:val="004879F9"/>
    <w:rsid w:val="00487D85"/>
    <w:rsid w:val="004921FB"/>
    <w:rsid w:val="0049356C"/>
    <w:rsid w:val="00494CE7"/>
    <w:rsid w:val="00494DBC"/>
    <w:rsid w:val="00494F9F"/>
    <w:rsid w:val="00495236"/>
    <w:rsid w:val="00496385"/>
    <w:rsid w:val="00496399"/>
    <w:rsid w:val="00496C48"/>
    <w:rsid w:val="00497498"/>
    <w:rsid w:val="004A0E33"/>
    <w:rsid w:val="004A0F28"/>
    <w:rsid w:val="004A150C"/>
    <w:rsid w:val="004A2228"/>
    <w:rsid w:val="004A2CF7"/>
    <w:rsid w:val="004A3A7E"/>
    <w:rsid w:val="004A501B"/>
    <w:rsid w:val="004A537C"/>
    <w:rsid w:val="004A629D"/>
    <w:rsid w:val="004A67D8"/>
    <w:rsid w:val="004A7CEC"/>
    <w:rsid w:val="004B04B3"/>
    <w:rsid w:val="004B0CE4"/>
    <w:rsid w:val="004B0E1B"/>
    <w:rsid w:val="004B1675"/>
    <w:rsid w:val="004B16F9"/>
    <w:rsid w:val="004B1A3C"/>
    <w:rsid w:val="004B1D6E"/>
    <w:rsid w:val="004B1F80"/>
    <w:rsid w:val="004B24D3"/>
    <w:rsid w:val="004B462F"/>
    <w:rsid w:val="004B5EC9"/>
    <w:rsid w:val="004B7508"/>
    <w:rsid w:val="004B777B"/>
    <w:rsid w:val="004B792E"/>
    <w:rsid w:val="004C002B"/>
    <w:rsid w:val="004C02E9"/>
    <w:rsid w:val="004C0B3D"/>
    <w:rsid w:val="004C1136"/>
    <w:rsid w:val="004C1F0C"/>
    <w:rsid w:val="004C2863"/>
    <w:rsid w:val="004C3341"/>
    <w:rsid w:val="004C463C"/>
    <w:rsid w:val="004C4814"/>
    <w:rsid w:val="004C4D49"/>
    <w:rsid w:val="004D058D"/>
    <w:rsid w:val="004D0622"/>
    <w:rsid w:val="004D1948"/>
    <w:rsid w:val="004D277B"/>
    <w:rsid w:val="004D2B4B"/>
    <w:rsid w:val="004D5594"/>
    <w:rsid w:val="004D604F"/>
    <w:rsid w:val="004D63D9"/>
    <w:rsid w:val="004D6951"/>
    <w:rsid w:val="004D6B6F"/>
    <w:rsid w:val="004D6BAD"/>
    <w:rsid w:val="004D77CC"/>
    <w:rsid w:val="004E0460"/>
    <w:rsid w:val="004E0DED"/>
    <w:rsid w:val="004E0F93"/>
    <w:rsid w:val="004E2E0A"/>
    <w:rsid w:val="004E43CA"/>
    <w:rsid w:val="004E7333"/>
    <w:rsid w:val="004E7906"/>
    <w:rsid w:val="004E7A2D"/>
    <w:rsid w:val="004F0A9A"/>
    <w:rsid w:val="004F1456"/>
    <w:rsid w:val="004F1A46"/>
    <w:rsid w:val="004F429E"/>
    <w:rsid w:val="004F4466"/>
    <w:rsid w:val="004F4A2D"/>
    <w:rsid w:val="004F5CCC"/>
    <w:rsid w:val="00501091"/>
    <w:rsid w:val="00501A76"/>
    <w:rsid w:val="00501EE8"/>
    <w:rsid w:val="00502DB0"/>
    <w:rsid w:val="00506027"/>
    <w:rsid w:val="00506D1E"/>
    <w:rsid w:val="00506E5F"/>
    <w:rsid w:val="0050713D"/>
    <w:rsid w:val="0050772A"/>
    <w:rsid w:val="00507E8C"/>
    <w:rsid w:val="0051001F"/>
    <w:rsid w:val="00510D68"/>
    <w:rsid w:val="00511394"/>
    <w:rsid w:val="00512579"/>
    <w:rsid w:val="00512EBB"/>
    <w:rsid w:val="005141AF"/>
    <w:rsid w:val="0051467D"/>
    <w:rsid w:val="00515E5D"/>
    <w:rsid w:val="00515E77"/>
    <w:rsid w:val="0051713B"/>
    <w:rsid w:val="005178D8"/>
    <w:rsid w:val="005200D3"/>
    <w:rsid w:val="005202EA"/>
    <w:rsid w:val="00520C60"/>
    <w:rsid w:val="00521256"/>
    <w:rsid w:val="005226B4"/>
    <w:rsid w:val="005231E1"/>
    <w:rsid w:val="005235BD"/>
    <w:rsid w:val="00526D66"/>
    <w:rsid w:val="00526EB8"/>
    <w:rsid w:val="00527AEB"/>
    <w:rsid w:val="00527F35"/>
    <w:rsid w:val="005311F2"/>
    <w:rsid w:val="0053143C"/>
    <w:rsid w:val="0053234A"/>
    <w:rsid w:val="00533DB5"/>
    <w:rsid w:val="0053516B"/>
    <w:rsid w:val="0053645B"/>
    <w:rsid w:val="00537A7D"/>
    <w:rsid w:val="00540D3B"/>
    <w:rsid w:val="005412E3"/>
    <w:rsid w:val="00542CA0"/>
    <w:rsid w:val="005436E3"/>
    <w:rsid w:val="00544DC3"/>
    <w:rsid w:val="00545211"/>
    <w:rsid w:val="00545D35"/>
    <w:rsid w:val="00547DAA"/>
    <w:rsid w:val="00547EB6"/>
    <w:rsid w:val="00550901"/>
    <w:rsid w:val="005513CB"/>
    <w:rsid w:val="005513CF"/>
    <w:rsid w:val="005518CA"/>
    <w:rsid w:val="00551B42"/>
    <w:rsid w:val="00551E38"/>
    <w:rsid w:val="005525E0"/>
    <w:rsid w:val="00552DD7"/>
    <w:rsid w:val="005532EB"/>
    <w:rsid w:val="005554F0"/>
    <w:rsid w:val="00556740"/>
    <w:rsid w:val="00556A74"/>
    <w:rsid w:val="005572E7"/>
    <w:rsid w:val="00557EFB"/>
    <w:rsid w:val="005600A1"/>
    <w:rsid w:val="0056023F"/>
    <w:rsid w:val="00560296"/>
    <w:rsid w:val="00560416"/>
    <w:rsid w:val="00561711"/>
    <w:rsid w:val="0056188D"/>
    <w:rsid w:val="00562822"/>
    <w:rsid w:val="0056393F"/>
    <w:rsid w:val="00563C3F"/>
    <w:rsid w:val="00563CA8"/>
    <w:rsid w:val="0057068F"/>
    <w:rsid w:val="0057077D"/>
    <w:rsid w:val="00570C4F"/>
    <w:rsid w:val="00572257"/>
    <w:rsid w:val="00572FE6"/>
    <w:rsid w:val="00573AA3"/>
    <w:rsid w:val="00573F71"/>
    <w:rsid w:val="005741E2"/>
    <w:rsid w:val="005748D0"/>
    <w:rsid w:val="00574AF1"/>
    <w:rsid w:val="00574E5D"/>
    <w:rsid w:val="00575CAD"/>
    <w:rsid w:val="00576248"/>
    <w:rsid w:val="00577F5F"/>
    <w:rsid w:val="0058097D"/>
    <w:rsid w:val="00581CFA"/>
    <w:rsid w:val="00582426"/>
    <w:rsid w:val="00582501"/>
    <w:rsid w:val="00582921"/>
    <w:rsid w:val="00584239"/>
    <w:rsid w:val="00585443"/>
    <w:rsid w:val="00586A15"/>
    <w:rsid w:val="00591339"/>
    <w:rsid w:val="00591412"/>
    <w:rsid w:val="0059249A"/>
    <w:rsid w:val="00593AE5"/>
    <w:rsid w:val="005945ED"/>
    <w:rsid w:val="0059517E"/>
    <w:rsid w:val="005954CE"/>
    <w:rsid w:val="00595C24"/>
    <w:rsid w:val="0059670B"/>
    <w:rsid w:val="00596D57"/>
    <w:rsid w:val="005A0CF9"/>
    <w:rsid w:val="005A1BA1"/>
    <w:rsid w:val="005A243D"/>
    <w:rsid w:val="005A2BC7"/>
    <w:rsid w:val="005A3889"/>
    <w:rsid w:val="005A464F"/>
    <w:rsid w:val="005A47DA"/>
    <w:rsid w:val="005A4F07"/>
    <w:rsid w:val="005A673A"/>
    <w:rsid w:val="005A6CF6"/>
    <w:rsid w:val="005A6E42"/>
    <w:rsid w:val="005A7CC7"/>
    <w:rsid w:val="005B1F47"/>
    <w:rsid w:val="005B4605"/>
    <w:rsid w:val="005B4BFF"/>
    <w:rsid w:val="005B5ED4"/>
    <w:rsid w:val="005B5F23"/>
    <w:rsid w:val="005B6767"/>
    <w:rsid w:val="005B6CE5"/>
    <w:rsid w:val="005C0861"/>
    <w:rsid w:val="005C21E6"/>
    <w:rsid w:val="005C237A"/>
    <w:rsid w:val="005C2B80"/>
    <w:rsid w:val="005C3932"/>
    <w:rsid w:val="005C3C11"/>
    <w:rsid w:val="005C48D1"/>
    <w:rsid w:val="005C51BB"/>
    <w:rsid w:val="005C56B9"/>
    <w:rsid w:val="005C74E7"/>
    <w:rsid w:val="005C7747"/>
    <w:rsid w:val="005D0101"/>
    <w:rsid w:val="005D0C0F"/>
    <w:rsid w:val="005D243E"/>
    <w:rsid w:val="005D35D4"/>
    <w:rsid w:val="005D3E72"/>
    <w:rsid w:val="005D455B"/>
    <w:rsid w:val="005D4B59"/>
    <w:rsid w:val="005D62D3"/>
    <w:rsid w:val="005E0CAB"/>
    <w:rsid w:val="005E34CC"/>
    <w:rsid w:val="005E36E6"/>
    <w:rsid w:val="005E3A32"/>
    <w:rsid w:val="005E3C07"/>
    <w:rsid w:val="005E4D2C"/>
    <w:rsid w:val="005E673C"/>
    <w:rsid w:val="005E6B98"/>
    <w:rsid w:val="005E7676"/>
    <w:rsid w:val="005E7828"/>
    <w:rsid w:val="005E7CAB"/>
    <w:rsid w:val="005E7CCF"/>
    <w:rsid w:val="005E7E02"/>
    <w:rsid w:val="005F0A27"/>
    <w:rsid w:val="005F19AA"/>
    <w:rsid w:val="005F1A7B"/>
    <w:rsid w:val="005F1E97"/>
    <w:rsid w:val="005F25CB"/>
    <w:rsid w:val="005F34AA"/>
    <w:rsid w:val="005F3DA1"/>
    <w:rsid w:val="005F3E1A"/>
    <w:rsid w:val="005F67A8"/>
    <w:rsid w:val="005F69D4"/>
    <w:rsid w:val="005F7209"/>
    <w:rsid w:val="006000F4"/>
    <w:rsid w:val="00600EFA"/>
    <w:rsid w:val="00602AB8"/>
    <w:rsid w:val="00602ABA"/>
    <w:rsid w:val="00603C9C"/>
    <w:rsid w:val="00604364"/>
    <w:rsid w:val="006065B5"/>
    <w:rsid w:val="00607853"/>
    <w:rsid w:val="00607D43"/>
    <w:rsid w:val="0061047B"/>
    <w:rsid w:val="00610B02"/>
    <w:rsid w:val="006113CF"/>
    <w:rsid w:val="00611857"/>
    <w:rsid w:val="0061262C"/>
    <w:rsid w:val="00612B7A"/>
    <w:rsid w:val="00613172"/>
    <w:rsid w:val="00613EF7"/>
    <w:rsid w:val="00615941"/>
    <w:rsid w:val="0061693F"/>
    <w:rsid w:val="006173E6"/>
    <w:rsid w:val="006179BE"/>
    <w:rsid w:val="0062127F"/>
    <w:rsid w:val="0062157B"/>
    <w:rsid w:val="006223F9"/>
    <w:rsid w:val="006238F7"/>
    <w:rsid w:val="006245CF"/>
    <w:rsid w:val="00625C6E"/>
    <w:rsid w:val="00626428"/>
    <w:rsid w:val="00626587"/>
    <w:rsid w:val="00626686"/>
    <w:rsid w:val="00630DD1"/>
    <w:rsid w:val="00632F93"/>
    <w:rsid w:val="006339BD"/>
    <w:rsid w:val="006345EF"/>
    <w:rsid w:val="00635540"/>
    <w:rsid w:val="0063571A"/>
    <w:rsid w:val="006357E5"/>
    <w:rsid w:val="00635E79"/>
    <w:rsid w:val="006360AA"/>
    <w:rsid w:val="00636547"/>
    <w:rsid w:val="0063677C"/>
    <w:rsid w:val="006369E6"/>
    <w:rsid w:val="00636E49"/>
    <w:rsid w:val="0064242D"/>
    <w:rsid w:val="00642A89"/>
    <w:rsid w:val="00643681"/>
    <w:rsid w:val="006443C7"/>
    <w:rsid w:val="00644714"/>
    <w:rsid w:val="00644E9B"/>
    <w:rsid w:val="0064590A"/>
    <w:rsid w:val="00645B0C"/>
    <w:rsid w:val="00646518"/>
    <w:rsid w:val="00646B88"/>
    <w:rsid w:val="006474CB"/>
    <w:rsid w:val="00650669"/>
    <w:rsid w:val="006510A6"/>
    <w:rsid w:val="00651A3F"/>
    <w:rsid w:val="00651DF7"/>
    <w:rsid w:val="006524F3"/>
    <w:rsid w:val="00652519"/>
    <w:rsid w:val="00652CCB"/>
    <w:rsid w:val="00654521"/>
    <w:rsid w:val="00654DC0"/>
    <w:rsid w:val="006567F7"/>
    <w:rsid w:val="00660026"/>
    <w:rsid w:val="0066100A"/>
    <w:rsid w:val="00661D39"/>
    <w:rsid w:val="00661D45"/>
    <w:rsid w:val="00663B93"/>
    <w:rsid w:val="00663F54"/>
    <w:rsid w:val="00664B50"/>
    <w:rsid w:val="006656BC"/>
    <w:rsid w:val="00665E9D"/>
    <w:rsid w:val="006671E8"/>
    <w:rsid w:val="00670EB7"/>
    <w:rsid w:val="0067515E"/>
    <w:rsid w:val="006762D5"/>
    <w:rsid w:val="006766AC"/>
    <w:rsid w:val="006773BC"/>
    <w:rsid w:val="006775C1"/>
    <w:rsid w:val="00677C30"/>
    <w:rsid w:val="0068110B"/>
    <w:rsid w:val="006815ED"/>
    <w:rsid w:val="00681710"/>
    <w:rsid w:val="006831FC"/>
    <w:rsid w:val="00683F37"/>
    <w:rsid w:val="0068437D"/>
    <w:rsid w:val="00685806"/>
    <w:rsid w:val="00685CCA"/>
    <w:rsid w:val="00686F69"/>
    <w:rsid w:val="0068787B"/>
    <w:rsid w:val="00687B85"/>
    <w:rsid w:val="00690608"/>
    <w:rsid w:val="0069348B"/>
    <w:rsid w:val="00693C26"/>
    <w:rsid w:val="00694CB2"/>
    <w:rsid w:val="00694DF7"/>
    <w:rsid w:val="006958B3"/>
    <w:rsid w:val="00696067"/>
    <w:rsid w:val="006A0484"/>
    <w:rsid w:val="006A0997"/>
    <w:rsid w:val="006A1047"/>
    <w:rsid w:val="006A3606"/>
    <w:rsid w:val="006A3DB4"/>
    <w:rsid w:val="006A43D1"/>
    <w:rsid w:val="006A4BAE"/>
    <w:rsid w:val="006A59A6"/>
    <w:rsid w:val="006A5BC0"/>
    <w:rsid w:val="006A648B"/>
    <w:rsid w:val="006B0812"/>
    <w:rsid w:val="006B099A"/>
    <w:rsid w:val="006B1685"/>
    <w:rsid w:val="006B2527"/>
    <w:rsid w:val="006B2DAD"/>
    <w:rsid w:val="006B56C1"/>
    <w:rsid w:val="006B5B8B"/>
    <w:rsid w:val="006B66C4"/>
    <w:rsid w:val="006B7690"/>
    <w:rsid w:val="006B7CFB"/>
    <w:rsid w:val="006B7F9C"/>
    <w:rsid w:val="006C0306"/>
    <w:rsid w:val="006C05E4"/>
    <w:rsid w:val="006C152E"/>
    <w:rsid w:val="006C1E7D"/>
    <w:rsid w:val="006C40BC"/>
    <w:rsid w:val="006C449A"/>
    <w:rsid w:val="006C461F"/>
    <w:rsid w:val="006C488B"/>
    <w:rsid w:val="006C4B1D"/>
    <w:rsid w:val="006C5C40"/>
    <w:rsid w:val="006C65D0"/>
    <w:rsid w:val="006C6DEB"/>
    <w:rsid w:val="006C7494"/>
    <w:rsid w:val="006D0B9F"/>
    <w:rsid w:val="006D0BF8"/>
    <w:rsid w:val="006D2482"/>
    <w:rsid w:val="006D2736"/>
    <w:rsid w:val="006D40B1"/>
    <w:rsid w:val="006D40FC"/>
    <w:rsid w:val="006D45BA"/>
    <w:rsid w:val="006D604B"/>
    <w:rsid w:val="006D71C6"/>
    <w:rsid w:val="006D722C"/>
    <w:rsid w:val="006D7560"/>
    <w:rsid w:val="006D77DD"/>
    <w:rsid w:val="006D7CC5"/>
    <w:rsid w:val="006E0160"/>
    <w:rsid w:val="006E3B4D"/>
    <w:rsid w:val="006E47A4"/>
    <w:rsid w:val="006E544A"/>
    <w:rsid w:val="006E5576"/>
    <w:rsid w:val="006E6884"/>
    <w:rsid w:val="006E719D"/>
    <w:rsid w:val="006E7205"/>
    <w:rsid w:val="006E7983"/>
    <w:rsid w:val="006F002C"/>
    <w:rsid w:val="006F0BAA"/>
    <w:rsid w:val="006F0BE5"/>
    <w:rsid w:val="006F1072"/>
    <w:rsid w:val="006F1538"/>
    <w:rsid w:val="006F23C9"/>
    <w:rsid w:val="006F2E71"/>
    <w:rsid w:val="006F312F"/>
    <w:rsid w:val="006F479F"/>
    <w:rsid w:val="006F4DF9"/>
    <w:rsid w:val="006F5FCB"/>
    <w:rsid w:val="006F6788"/>
    <w:rsid w:val="006F74EC"/>
    <w:rsid w:val="00701307"/>
    <w:rsid w:val="00702CAA"/>
    <w:rsid w:val="00703171"/>
    <w:rsid w:val="00703E11"/>
    <w:rsid w:val="00705E94"/>
    <w:rsid w:val="00710617"/>
    <w:rsid w:val="0071097B"/>
    <w:rsid w:val="00711330"/>
    <w:rsid w:val="00711814"/>
    <w:rsid w:val="007119A5"/>
    <w:rsid w:val="00712ADA"/>
    <w:rsid w:val="0071325C"/>
    <w:rsid w:val="00713CAE"/>
    <w:rsid w:val="007145D5"/>
    <w:rsid w:val="00715538"/>
    <w:rsid w:val="00715A25"/>
    <w:rsid w:val="00715BDF"/>
    <w:rsid w:val="007163EC"/>
    <w:rsid w:val="00717F65"/>
    <w:rsid w:val="00720525"/>
    <w:rsid w:val="00720767"/>
    <w:rsid w:val="0072158E"/>
    <w:rsid w:val="007225CB"/>
    <w:rsid w:val="00723B4E"/>
    <w:rsid w:val="007253F4"/>
    <w:rsid w:val="0072578F"/>
    <w:rsid w:val="00727973"/>
    <w:rsid w:val="007302AE"/>
    <w:rsid w:val="0073076E"/>
    <w:rsid w:val="007315DA"/>
    <w:rsid w:val="00731815"/>
    <w:rsid w:val="0073295D"/>
    <w:rsid w:val="00732A5C"/>
    <w:rsid w:val="00734795"/>
    <w:rsid w:val="00735EEF"/>
    <w:rsid w:val="00737A7F"/>
    <w:rsid w:val="00737B04"/>
    <w:rsid w:val="0074159A"/>
    <w:rsid w:val="007424F5"/>
    <w:rsid w:val="007426C2"/>
    <w:rsid w:val="00745F8E"/>
    <w:rsid w:val="00746486"/>
    <w:rsid w:val="007521ED"/>
    <w:rsid w:val="00753B0E"/>
    <w:rsid w:val="00753C7E"/>
    <w:rsid w:val="007551AF"/>
    <w:rsid w:val="0075574F"/>
    <w:rsid w:val="00756889"/>
    <w:rsid w:val="00756A1E"/>
    <w:rsid w:val="00756E99"/>
    <w:rsid w:val="00757D4C"/>
    <w:rsid w:val="007619D4"/>
    <w:rsid w:val="00762090"/>
    <w:rsid w:val="00762122"/>
    <w:rsid w:val="00763341"/>
    <w:rsid w:val="00764B3C"/>
    <w:rsid w:val="00765BDE"/>
    <w:rsid w:val="007665C5"/>
    <w:rsid w:val="00767CCF"/>
    <w:rsid w:val="00770064"/>
    <w:rsid w:val="007708D3"/>
    <w:rsid w:val="00770D0C"/>
    <w:rsid w:val="00773F40"/>
    <w:rsid w:val="007744C4"/>
    <w:rsid w:val="0077611D"/>
    <w:rsid w:val="00776570"/>
    <w:rsid w:val="00777D7D"/>
    <w:rsid w:val="00780549"/>
    <w:rsid w:val="00783076"/>
    <w:rsid w:val="007835A7"/>
    <w:rsid w:val="00786C53"/>
    <w:rsid w:val="00786D68"/>
    <w:rsid w:val="00787D9F"/>
    <w:rsid w:val="00791800"/>
    <w:rsid w:val="00792551"/>
    <w:rsid w:val="00794AB6"/>
    <w:rsid w:val="00795442"/>
    <w:rsid w:val="00795A0A"/>
    <w:rsid w:val="00796C1C"/>
    <w:rsid w:val="007A35E5"/>
    <w:rsid w:val="007A3938"/>
    <w:rsid w:val="007A3B8D"/>
    <w:rsid w:val="007A3D06"/>
    <w:rsid w:val="007A3DF7"/>
    <w:rsid w:val="007A4C5F"/>
    <w:rsid w:val="007A66DC"/>
    <w:rsid w:val="007A736B"/>
    <w:rsid w:val="007B02A3"/>
    <w:rsid w:val="007B1121"/>
    <w:rsid w:val="007B1451"/>
    <w:rsid w:val="007B231A"/>
    <w:rsid w:val="007B24FF"/>
    <w:rsid w:val="007B4AE7"/>
    <w:rsid w:val="007B59A6"/>
    <w:rsid w:val="007B5C2F"/>
    <w:rsid w:val="007B673C"/>
    <w:rsid w:val="007B687A"/>
    <w:rsid w:val="007B6EE4"/>
    <w:rsid w:val="007B7D65"/>
    <w:rsid w:val="007C00E6"/>
    <w:rsid w:val="007C06AD"/>
    <w:rsid w:val="007C1640"/>
    <w:rsid w:val="007C1ACF"/>
    <w:rsid w:val="007C2105"/>
    <w:rsid w:val="007C3214"/>
    <w:rsid w:val="007C34A7"/>
    <w:rsid w:val="007C3562"/>
    <w:rsid w:val="007C39A1"/>
    <w:rsid w:val="007C3C50"/>
    <w:rsid w:val="007C4087"/>
    <w:rsid w:val="007C40B5"/>
    <w:rsid w:val="007C52C5"/>
    <w:rsid w:val="007C68F4"/>
    <w:rsid w:val="007C7D75"/>
    <w:rsid w:val="007C7E36"/>
    <w:rsid w:val="007D116C"/>
    <w:rsid w:val="007D19C2"/>
    <w:rsid w:val="007D3081"/>
    <w:rsid w:val="007D31CF"/>
    <w:rsid w:val="007D3686"/>
    <w:rsid w:val="007D3E45"/>
    <w:rsid w:val="007D42CE"/>
    <w:rsid w:val="007D4DCE"/>
    <w:rsid w:val="007D4EB9"/>
    <w:rsid w:val="007D5264"/>
    <w:rsid w:val="007D5754"/>
    <w:rsid w:val="007D6331"/>
    <w:rsid w:val="007D7536"/>
    <w:rsid w:val="007E0877"/>
    <w:rsid w:val="007E09AC"/>
    <w:rsid w:val="007E1FDA"/>
    <w:rsid w:val="007E33CB"/>
    <w:rsid w:val="007E3688"/>
    <w:rsid w:val="007E6CF7"/>
    <w:rsid w:val="007F03CA"/>
    <w:rsid w:val="007F0B09"/>
    <w:rsid w:val="007F0CAA"/>
    <w:rsid w:val="007F2002"/>
    <w:rsid w:val="007F2929"/>
    <w:rsid w:val="007F2CE1"/>
    <w:rsid w:val="007F2DE4"/>
    <w:rsid w:val="007F46DF"/>
    <w:rsid w:val="007F5516"/>
    <w:rsid w:val="007F6E09"/>
    <w:rsid w:val="007F71A3"/>
    <w:rsid w:val="007F71DF"/>
    <w:rsid w:val="007F731A"/>
    <w:rsid w:val="007F76EF"/>
    <w:rsid w:val="007F79EA"/>
    <w:rsid w:val="007F7B00"/>
    <w:rsid w:val="00800014"/>
    <w:rsid w:val="00800C94"/>
    <w:rsid w:val="00800F8E"/>
    <w:rsid w:val="00800FE3"/>
    <w:rsid w:val="00801D46"/>
    <w:rsid w:val="00803444"/>
    <w:rsid w:val="00803570"/>
    <w:rsid w:val="00804165"/>
    <w:rsid w:val="008041B9"/>
    <w:rsid w:val="00804283"/>
    <w:rsid w:val="008070A2"/>
    <w:rsid w:val="00807208"/>
    <w:rsid w:val="0080758B"/>
    <w:rsid w:val="00807B24"/>
    <w:rsid w:val="00807F79"/>
    <w:rsid w:val="00813B3C"/>
    <w:rsid w:val="00813CE6"/>
    <w:rsid w:val="00813DC3"/>
    <w:rsid w:val="00815F24"/>
    <w:rsid w:val="008162C1"/>
    <w:rsid w:val="00816EEE"/>
    <w:rsid w:val="00820B33"/>
    <w:rsid w:val="00821728"/>
    <w:rsid w:val="00824AC0"/>
    <w:rsid w:val="00824E68"/>
    <w:rsid w:val="00824EC5"/>
    <w:rsid w:val="00826F21"/>
    <w:rsid w:val="00827245"/>
    <w:rsid w:val="00830A04"/>
    <w:rsid w:val="008314DA"/>
    <w:rsid w:val="008315A3"/>
    <w:rsid w:val="00832646"/>
    <w:rsid w:val="00833B5C"/>
    <w:rsid w:val="00833C00"/>
    <w:rsid w:val="008362D8"/>
    <w:rsid w:val="0083741D"/>
    <w:rsid w:val="008402B0"/>
    <w:rsid w:val="00840E1C"/>
    <w:rsid w:val="008411BB"/>
    <w:rsid w:val="008418C0"/>
    <w:rsid w:val="0084215C"/>
    <w:rsid w:val="00842B28"/>
    <w:rsid w:val="0084318A"/>
    <w:rsid w:val="008433B3"/>
    <w:rsid w:val="00844F1B"/>
    <w:rsid w:val="008463A7"/>
    <w:rsid w:val="008467F0"/>
    <w:rsid w:val="00846BE1"/>
    <w:rsid w:val="00847862"/>
    <w:rsid w:val="008479B1"/>
    <w:rsid w:val="00847B88"/>
    <w:rsid w:val="0085010F"/>
    <w:rsid w:val="00851499"/>
    <w:rsid w:val="00851A1F"/>
    <w:rsid w:val="0085337E"/>
    <w:rsid w:val="00853F80"/>
    <w:rsid w:val="00854D3D"/>
    <w:rsid w:val="00855CB4"/>
    <w:rsid w:val="00856379"/>
    <w:rsid w:val="00856B43"/>
    <w:rsid w:val="0086176F"/>
    <w:rsid w:val="00861D59"/>
    <w:rsid w:val="008633DA"/>
    <w:rsid w:val="008635DD"/>
    <w:rsid w:val="008636C0"/>
    <w:rsid w:val="00863ED5"/>
    <w:rsid w:val="008642C2"/>
    <w:rsid w:val="008646F5"/>
    <w:rsid w:val="00865E34"/>
    <w:rsid w:val="0086638D"/>
    <w:rsid w:val="00866791"/>
    <w:rsid w:val="0086697F"/>
    <w:rsid w:val="008704D0"/>
    <w:rsid w:val="0087058E"/>
    <w:rsid w:val="008711BE"/>
    <w:rsid w:val="008721C4"/>
    <w:rsid w:val="0087327B"/>
    <w:rsid w:val="00874FA1"/>
    <w:rsid w:val="00875031"/>
    <w:rsid w:val="008753BC"/>
    <w:rsid w:val="0087547C"/>
    <w:rsid w:val="00875769"/>
    <w:rsid w:val="0087611D"/>
    <w:rsid w:val="00877D28"/>
    <w:rsid w:val="008801AA"/>
    <w:rsid w:val="00880DF8"/>
    <w:rsid w:val="00880FDC"/>
    <w:rsid w:val="00881D0D"/>
    <w:rsid w:val="00881D59"/>
    <w:rsid w:val="0088297B"/>
    <w:rsid w:val="00882EDE"/>
    <w:rsid w:val="008834A4"/>
    <w:rsid w:val="00886573"/>
    <w:rsid w:val="00886747"/>
    <w:rsid w:val="008871F7"/>
    <w:rsid w:val="00887889"/>
    <w:rsid w:val="00887EA5"/>
    <w:rsid w:val="00891248"/>
    <w:rsid w:val="008919D3"/>
    <w:rsid w:val="00891EF4"/>
    <w:rsid w:val="00892344"/>
    <w:rsid w:val="008925F9"/>
    <w:rsid w:val="00892A92"/>
    <w:rsid w:val="0089322A"/>
    <w:rsid w:val="00895473"/>
    <w:rsid w:val="0089605A"/>
    <w:rsid w:val="00896355"/>
    <w:rsid w:val="008A07EC"/>
    <w:rsid w:val="008A198C"/>
    <w:rsid w:val="008A2335"/>
    <w:rsid w:val="008A2DA4"/>
    <w:rsid w:val="008A369F"/>
    <w:rsid w:val="008A3D0F"/>
    <w:rsid w:val="008A496E"/>
    <w:rsid w:val="008A49B0"/>
    <w:rsid w:val="008A4F9B"/>
    <w:rsid w:val="008A5368"/>
    <w:rsid w:val="008A595B"/>
    <w:rsid w:val="008A5CF6"/>
    <w:rsid w:val="008A6438"/>
    <w:rsid w:val="008A7570"/>
    <w:rsid w:val="008B01CD"/>
    <w:rsid w:val="008B097E"/>
    <w:rsid w:val="008B1D20"/>
    <w:rsid w:val="008B2292"/>
    <w:rsid w:val="008B2DE1"/>
    <w:rsid w:val="008B303C"/>
    <w:rsid w:val="008B3098"/>
    <w:rsid w:val="008B3536"/>
    <w:rsid w:val="008B3F1C"/>
    <w:rsid w:val="008B4542"/>
    <w:rsid w:val="008B4A40"/>
    <w:rsid w:val="008B53D5"/>
    <w:rsid w:val="008B7289"/>
    <w:rsid w:val="008B769D"/>
    <w:rsid w:val="008B7A71"/>
    <w:rsid w:val="008C1434"/>
    <w:rsid w:val="008C21F5"/>
    <w:rsid w:val="008C300D"/>
    <w:rsid w:val="008C3822"/>
    <w:rsid w:val="008C4759"/>
    <w:rsid w:val="008C524D"/>
    <w:rsid w:val="008C5642"/>
    <w:rsid w:val="008C67B2"/>
    <w:rsid w:val="008C79E0"/>
    <w:rsid w:val="008D2DA1"/>
    <w:rsid w:val="008D417C"/>
    <w:rsid w:val="008D4616"/>
    <w:rsid w:val="008D53C0"/>
    <w:rsid w:val="008D55F3"/>
    <w:rsid w:val="008D57C2"/>
    <w:rsid w:val="008D7777"/>
    <w:rsid w:val="008D78C4"/>
    <w:rsid w:val="008E073D"/>
    <w:rsid w:val="008E1808"/>
    <w:rsid w:val="008E1ADD"/>
    <w:rsid w:val="008E241E"/>
    <w:rsid w:val="008E2EC2"/>
    <w:rsid w:val="008E4128"/>
    <w:rsid w:val="008E4E9B"/>
    <w:rsid w:val="008E4EA0"/>
    <w:rsid w:val="008E684F"/>
    <w:rsid w:val="008E6A01"/>
    <w:rsid w:val="008E7B9B"/>
    <w:rsid w:val="008F064A"/>
    <w:rsid w:val="008F080B"/>
    <w:rsid w:val="008F0D12"/>
    <w:rsid w:val="008F2776"/>
    <w:rsid w:val="008F2875"/>
    <w:rsid w:val="008F2BAC"/>
    <w:rsid w:val="008F3BD2"/>
    <w:rsid w:val="008F4BE3"/>
    <w:rsid w:val="008F5C54"/>
    <w:rsid w:val="008F7481"/>
    <w:rsid w:val="008F7D02"/>
    <w:rsid w:val="00900338"/>
    <w:rsid w:val="00900E6C"/>
    <w:rsid w:val="009016DA"/>
    <w:rsid w:val="009017DE"/>
    <w:rsid w:val="009043A1"/>
    <w:rsid w:val="00904CEC"/>
    <w:rsid w:val="009069C7"/>
    <w:rsid w:val="00907168"/>
    <w:rsid w:val="00911A0B"/>
    <w:rsid w:val="00911A7D"/>
    <w:rsid w:val="00911B70"/>
    <w:rsid w:val="00913FE8"/>
    <w:rsid w:val="00914829"/>
    <w:rsid w:val="009151AF"/>
    <w:rsid w:val="009164C3"/>
    <w:rsid w:val="00916FD9"/>
    <w:rsid w:val="009172BD"/>
    <w:rsid w:val="0091734E"/>
    <w:rsid w:val="00920E79"/>
    <w:rsid w:val="009222A1"/>
    <w:rsid w:val="0092284F"/>
    <w:rsid w:val="00925317"/>
    <w:rsid w:val="00925357"/>
    <w:rsid w:val="0092555A"/>
    <w:rsid w:val="009276B7"/>
    <w:rsid w:val="009302B6"/>
    <w:rsid w:val="00931546"/>
    <w:rsid w:val="00931565"/>
    <w:rsid w:val="00931CBF"/>
    <w:rsid w:val="00932A69"/>
    <w:rsid w:val="00933A42"/>
    <w:rsid w:val="009370FD"/>
    <w:rsid w:val="0093713A"/>
    <w:rsid w:val="00937167"/>
    <w:rsid w:val="0093764E"/>
    <w:rsid w:val="0094220C"/>
    <w:rsid w:val="00942586"/>
    <w:rsid w:val="00943EED"/>
    <w:rsid w:val="00944397"/>
    <w:rsid w:val="0094445F"/>
    <w:rsid w:val="00945192"/>
    <w:rsid w:val="0094536C"/>
    <w:rsid w:val="00946030"/>
    <w:rsid w:val="0094661E"/>
    <w:rsid w:val="00946ABC"/>
    <w:rsid w:val="0095061F"/>
    <w:rsid w:val="00950A6A"/>
    <w:rsid w:val="00950FA4"/>
    <w:rsid w:val="009532F6"/>
    <w:rsid w:val="0095407F"/>
    <w:rsid w:val="00954A61"/>
    <w:rsid w:val="00956F47"/>
    <w:rsid w:val="009576A8"/>
    <w:rsid w:val="009601E3"/>
    <w:rsid w:val="00960B4A"/>
    <w:rsid w:val="0096179A"/>
    <w:rsid w:val="00964577"/>
    <w:rsid w:val="009659E3"/>
    <w:rsid w:val="009665D7"/>
    <w:rsid w:val="00966924"/>
    <w:rsid w:val="0096761A"/>
    <w:rsid w:val="00967E67"/>
    <w:rsid w:val="00967FD0"/>
    <w:rsid w:val="0097008B"/>
    <w:rsid w:val="00971863"/>
    <w:rsid w:val="00973081"/>
    <w:rsid w:val="00974398"/>
    <w:rsid w:val="009743BF"/>
    <w:rsid w:val="009759C3"/>
    <w:rsid w:val="00976DB2"/>
    <w:rsid w:val="00980191"/>
    <w:rsid w:val="00980479"/>
    <w:rsid w:val="00982C0D"/>
    <w:rsid w:val="00984DCE"/>
    <w:rsid w:val="00985C00"/>
    <w:rsid w:val="00987C71"/>
    <w:rsid w:val="00990344"/>
    <w:rsid w:val="00990397"/>
    <w:rsid w:val="00991E83"/>
    <w:rsid w:val="00991FC0"/>
    <w:rsid w:val="0099292F"/>
    <w:rsid w:val="0099293E"/>
    <w:rsid w:val="009945FF"/>
    <w:rsid w:val="009952E2"/>
    <w:rsid w:val="0099545B"/>
    <w:rsid w:val="00995BBD"/>
    <w:rsid w:val="009962C3"/>
    <w:rsid w:val="009A0CB8"/>
    <w:rsid w:val="009A0CCA"/>
    <w:rsid w:val="009A1370"/>
    <w:rsid w:val="009A29DE"/>
    <w:rsid w:val="009A2BE8"/>
    <w:rsid w:val="009A3081"/>
    <w:rsid w:val="009A421C"/>
    <w:rsid w:val="009A45A5"/>
    <w:rsid w:val="009A4A81"/>
    <w:rsid w:val="009A5E49"/>
    <w:rsid w:val="009A6BA6"/>
    <w:rsid w:val="009A724C"/>
    <w:rsid w:val="009A7504"/>
    <w:rsid w:val="009A7AEC"/>
    <w:rsid w:val="009B05DC"/>
    <w:rsid w:val="009B0A7B"/>
    <w:rsid w:val="009B251D"/>
    <w:rsid w:val="009B275D"/>
    <w:rsid w:val="009B36C0"/>
    <w:rsid w:val="009B53FB"/>
    <w:rsid w:val="009B5D3A"/>
    <w:rsid w:val="009C106B"/>
    <w:rsid w:val="009C1C4B"/>
    <w:rsid w:val="009C3FA8"/>
    <w:rsid w:val="009C61BD"/>
    <w:rsid w:val="009D233A"/>
    <w:rsid w:val="009D2863"/>
    <w:rsid w:val="009D3340"/>
    <w:rsid w:val="009D377B"/>
    <w:rsid w:val="009D3DD5"/>
    <w:rsid w:val="009D4C55"/>
    <w:rsid w:val="009D541C"/>
    <w:rsid w:val="009D5E30"/>
    <w:rsid w:val="009E2A2A"/>
    <w:rsid w:val="009E36E3"/>
    <w:rsid w:val="009E3B9C"/>
    <w:rsid w:val="009E65DC"/>
    <w:rsid w:val="009E7760"/>
    <w:rsid w:val="009E7781"/>
    <w:rsid w:val="009E7EC0"/>
    <w:rsid w:val="009F0CF4"/>
    <w:rsid w:val="009F15C7"/>
    <w:rsid w:val="009F2D65"/>
    <w:rsid w:val="009F3932"/>
    <w:rsid w:val="009F4376"/>
    <w:rsid w:val="009F6FB9"/>
    <w:rsid w:val="009F76CC"/>
    <w:rsid w:val="00A007FE"/>
    <w:rsid w:val="00A008CF"/>
    <w:rsid w:val="00A00BD1"/>
    <w:rsid w:val="00A01DA0"/>
    <w:rsid w:val="00A035EE"/>
    <w:rsid w:val="00A03947"/>
    <w:rsid w:val="00A03FA1"/>
    <w:rsid w:val="00A042A8"/>
    <w:rsid w:val="00A04D19"/>
    <w:rsid w:val="00A04F7F"/>
    <w:rsid w:val="00A06183"/>
    <w:rsid w:val="00A06C92"/>
    <w:rsid w:val="00A11030"/>
    <w:rsid w:val="00A1124C"/>
    <w:rsid w:val="00A117A8"/>
    <w:rsid w:val="00A12D66"/>
    <w:rsid w:val="00A136A8"/>
    <w:rsid w:val="00A13833"/>
    <w:rsid w:val="00A13D26"/>
    <w:rsid w:val="00A14610"/>
    <w:rsid w:val="00A15A71"/>
    <w:rsid w:val="00A17B0D"/>
    <w:rsid w:val="00A17CB7"/>
    <w:rsid w:val="00A214F2"/>
    <w:rsid w:val="00A224BF"/>
    <w:rsid w:val="00A228D1"/>
    <w:rsid w:val="00A23760"/>
    <w:rsid w:val="00A23CF5"/>
    <w:rsid w:val="00A247A3"/>
    <w:rsid w:val="00A24C27"/>
    <w:rsid w:val="00A25074"/>
    <w:rsid w:val="00A27DB4"/>
    <w:rsid w:val="00A304EC"/>
    <w:rsid w:val="00A3091E"/>
    <w:rsid w:val="00A323A5"/>
    <w:rsid w:val="00A32AE9"/>
    <w:rsid w:val="00A34CC3"/>
    <w:rsid w:val="00A350F2"/>
    <w:rsid w:val="00A35703"/>
    <w:rsid w:val="00A35BC4"/>
    <w:rsid w:val="00A35E58"/>
    <w:rsid w:val="00A36EEB"/>
    <w:rsid w:val="00A4058C"/>
    <w:rsid w:val="00A42018"/>
    <w:rsid w:val="00A42D39"/>
    <w:rsid w:val="00A445A4"/>
    <w:rsid w:val="00A457D5"/>
    <w:rsid w:val="00A464C5"/>
    <w:rsid w:val="00A47FAD"/>
    <w:rsid w:val="00A511B6"/>
    <w:rsid w:val="00A517B6"/>
    <w:rsid w:val="00A51C50"/>
    <w:rsid w:val="00A557ED"/>
    <w:rsid w:val="00A56128"/>
    <w:rsid w:val="00A56EFB"/>
    <w:rsid w:val="00A6136E"/>
    <w:rsid w:val="00A62B92"/>
    <w:rsid w:val="00A63833"/>
    <w:rsid w:val="00A639C3"/>
    <w:rsid w:val="00A63F10"/>
    <w:rsid w:val="00A65766"/>
    <w:rsid w:val="00A672C0"/>
    <w:rsid w:val="00A6770F"/>
    <w:rsid w:val="00A67C72"/>
    <w:rsid w:val="00A708BA"/>
    <w:rsid w:val="00A71131"/>
    <w:rsid w:val="00A71DDD"/>
    <w:rsid w:val="00A72596"/>
    <w:rsid w:val="00A735E3"/>
    <w:rsid w:val="00A74AFD"/>
    <w:rsid w:val="00A74FEE"/>
    <w:rsid w:val="00A756E8"/>
    <w:rsid w:val="00A75DF6"/>
    <w:rsid w:val="00A761E2"/>
    <w:rsid w:val="00A76793"/>
    <w:rsid w:val="00A76D5C"/>
    <w:rsid w:val="00A76DBC"/>
    <w:rsid w:val="00A7718F"/>
    <w:rsid w:val="00A77EED"/>
    <w:rsid w:val="00A77F13"/>
    <w:rsid w:val="00A80AAA"/>
    <w:rsid w:val="00A80C7E"/>
    <w:rsid w:val="00A81CDE"/>
    <w:rsid w:val="00A82BF3"/>
    <w:rsid w:val="00A82EA8"/>
    <w:rsid w:val="00A83AF9"/>
    <w:rsid w:val="00A83FBB"/>
    <w:rsid w:val="00A844FB"/>
    <w:rsid w:val="00A85115"/>
    <w:rsid w:val="00A86070"/>
    <w:rsid w:val="00A8660D"/>
    <w:rsid w:val="00A90243"/>
    <w:rsid w:val="00A90B6D"/>
    <w:rsid w:val="00A90E5C"/>
    <w:rsid w:val="00A911E7"/>
    <w:rsid w:val="00A92818"/>
    <w:rsid w:val="00A9353B"/>
    <w:rsid w:val="00A9377C"/>
    <w:rsid w:val="00A94ED2"/>
    <w:rsid w:val="00A95837"/>
    <w:rsid w:val="00A96117"/>
    <w:rsid w:val="00AA037E"/>
    <w:rsid w:val="00AA0F4D"/>
    <w:rsid w:val="00AA18BA"/>
    <w:rsid w:val="00AA2718"/>
    <w:rsid w:val="00AA3A90"/>
    <w:rsid w:val="00AA44FD"/>
    <w:rsid w:val="00AA543A"/>
    <w:rsid w:val="00AA790A"/>
    <w:rsid w:val="00AB03DB"/>
    <w:rsid w:val="00AB1156"/>
    <w:rsid w:val="00AB1866"/>
    <w:rsid w:val="00AB21D7"/>
    <w:rsid w:val="00AB2DFA"/>
    <w:rsid w:val="00AB2EE6"/>
    <w:rsid w:val="00AB33D2"/>
    <w:rsid w:val="00AB3DEB"/>
    <w:rsid w:val="00AB4D62"/>
    <w:rsid w:val="00AB6376"/>
    <w:rsid w:val="00AB6966"/>
    <w:rsid w:val="00AB7091"/>
    <w:rsid w:val="00AB7320"/>
    <w:rsid w:val="00AC08B9"/>
    <w:rsid w:val="00AC0AE2"/>
    <w:rsid w:val="00AC16F0"/>
    <w:rsid w:val="00AC1D38"/>
    <w:rsid w:val="00AC36A6"/>
    <w:rsid w:val="00AC4F26"/>
    <w:rsid w:val="00AC5152"/>
    <w:rsid w:val="00AC560E"/>
    <w:rsid w:val="00AD0654"/>
    <w:rsid w:val="00AD0893"/>
    <w:rsid w:val="00AD1432"/>
    <w:rsid w:val="00AD3476"/>
    <w:rsid w:val="00AD3E83"/>
    <w:rsid w:val="00AD3FEF"/>
    <w:rsid w:val="00AD5174"/>
    <w:rsid w:val="00AD6185"/>
    <w:rsid w:val="00AD6253"/>
    <w:rsid w:val="00AD6A5C"/>
    <w:rsid w:val="00AD760B"/>
    <w:rsid w:val="00AD7A65"/>
    <w:rsid w:val="00AE0AC3"/>
    <w:rsid w:val="00AE1609"/>
    <w:rsid w:val="00AE342B"/>
    <w:rsid w:val="00AE38DD"/>
    <w:rsid w:val="00AE3C2E"/>
    <w:rsid w:val="00AE3CDC"/>
    <w:rsid w:val="00AE4428"/>
    <w:rsid w:val="00AE4843"/>
    <w:rsid w:val="00AE4945"/>
    <w:rsid w:val="00AE57F5"/>
    <w:rsid w:val="00AE590E"/>
    <w:rsid w:val="00AE6145"/>
    <w:rsid w:val="00AE6CA8"/>
    <w:rsid w:val="00AE705A"/>
    <w:rsid w:val="00AE74E6"/>
    <w:rsid w:val="00AF0DFE"/>
    <w:rsid w:val="00AF11B7"/>
    <w:rsid w:val="00AF130B"/>
    <w:rsid w:val="00AF22CE"/>
    <w:rsid w:val="00AF28E6"/>
    <w:rsid w:val="00AF2AC8"/>
    <w:rsid w:val="00AF3712"/>
    <w:rsid w:val="00AF389C"/>
    <w:rsid w:val="00AF3B51"/>
    <w:rsid w:val="00AF4D08"/>
    <w:rsid w:val="00AF6456"/>
    <w:rsid w:val="00AF7002"/>
    <w:rsid w:val="00B00C26"/>
    <w:rsid w:val="00B01196"/>
    <w:rsid w:val="00B02129"/>
    <w:rsid w:val="00B021F3"/>
    <w:rsid w:val="00B03347"/>
    <w:rsid w:val="00B03A0E"/>
    <w:rsid w:val="00B03C9E"/>
    <w:rsid w:val="00B05B86"/>
    <w:rsid w:val="00B05BB9"/>
    <w:rsid w:val="00B060E8"/>
    <w:rsid w:val="00B07FE5"/>
    <w:rsid w:val="00B102CC"/>
    <w:rsid w:val="00B12438"/>
    <w:rsid w:val="00B126E1"/>
    <w:rsid w:val="00B12E49"/>
    <w:rsid w:val="00B13F11"/>
    <w:rsid w:val="00B1453F"/>
    <w:rsid w:val="00B147A1"/>
    <w:rsid w:val="00B158AA"/>
    <w:rsid w:val="00B1594B"/>
    <w:rsid w:val="00B179B8"/>
    <w:rsid w:val="00B2008D"/>
    <w:rsid w:val="00B208CB"/>
    <w:rsid w:val="00B20D9C"/>
    <w:rsid w:val="00B21646"/>
    <w:rsid w:val="00B2174C"/>
    <w:rsid w:val="00B22072"/>
    <w:rsid w:val="00B226BE"/>
    <w:rsid w:val="00B24CE7"/>
    <w:rsid w:val="00B25CAE"/>
    <w:rsid w:val="00B2697D"/>
    <w:rsid w:val="00B314DC"/>
    <w:rsid w:val="00B318A5"/>
    <w:rsid w:val="00B34016"/>
    <w:rsid w:val="00B3407E"/>
    <w:rsid w:val="00B340E7"/>
    <w:rsid w:val="00B35B96"/>
    <w:rsid w:val="00B368E1"/>
    <w:rsid w:val="00B37321"/>
    <w:rsid w:val="00B403AF"/>
    <w:rsid w:val="00B40989"/>
    <w:rsid w:val="00B42CC5"/>
    <w:rsid w:val="00B4350A"/>
    <w:rsid w:val="00B43D0F"/>
    <w:rsid w:val="00B44A51"/>
    <w:rsid w:val="00B44AE4"/>
    <w:rsid w:val="00B4594E"/>
    <w:rsid w:val="00B507CD"/>
    <w:rsid w:val="00B51223"/>
    <w:rsid w:val="00B51D4A"/>
    <w:rsid w:val="00B53ADD"/>
    <w:rsid w:val="00B53B4C"/>
    <w:rsid w:val="00B5408F"/>
    <w:rsid w:val="00B54702"/>
    <w:rsid w:val="00B54D92"/>
    <w:rsid w:val="00B55050"/>
    <w:rsid w:val="00B57C61"/>
    <w:rsid w:val="00B57E1A"/>
    <w:rsid w:val="00B60850"/>
    <w:rsid w:val="00B61579"/>
    <w:rsid w:val="00B623CA"/>
    <w:rsid w:val="00B628BE"/>
    <w:rsid w:val="00B63809"/>
    <w:rsid w:val="00B63D1C"/>
    <w:rsid w:val="00B648B7"/>
    <w:rsid w:val="00B67BFE"/>
    <w:rsid w:val="00B718CA"/>
    <w:rsid w:val="00B726BB"/>
    <w:rsid w:val="00B736BD"/>
    <w:rsid w:val="00B737FF"/>
    <w:rsid w:val="00B7526F"/>
    <w:rsid w:val="00B762F2"/>
    <w:rsid w:val="00B771D2"/>
    <w:rsid w:val="00B777AF"/>
    <w:rsid w:val="00B83BB5"/>
    <w:rsid w:val="00B8547A"/>
    <w:rsid w:val="00B871A2"/>
    <w:rsid w:val="00B90338"/>
    <w:rsid w:val="00B90389"/>
    <w:rsid w:val="00B91361"/>
    <w:rsid w:val="00B914D6"/>
    <w:rsid w:val="00B935DB"/>
    <w:rsid w:val="00B9361D"/>
    <w:rsid w:val="00B93E5A"/>
    <w:rsid w:val="00B95B6B"/>
    <w:rsid w:val="00B9649A"/>
    <w:rsid w:val="00B97148"/>
    <w:rsid w:val="00B97434"/>
    <w:rsid w:val="00BA36A0"/>
    <w:rsid w:val="00BA51D1"/>
    <w:rsid w:val="00BA6093"/>
    <w:rsid w:val="00BA6BA4"/>
    <w:rsid w:val="00BA7D14"/>
    <w:rsid w:val="00BB0F40"/>
    <w:rsid w:val="00BB209A"/>
    <w:rsid w:val="00BB2E1A"/>
    <w:rsid w:val="00BB4F99"/>
    <w:rsid w:val="00BB5476"/>
    <w:rsid w:val="00BB622D"/>
    <w:rsid w:val="00BB64EA"/>
    <w:rsid w:val="00BB75E4"/>
    <w:rsid w:val="00BC0A9F"/>
    <w:rsid w:val="00BC1DA4"/>
    <w:rsid w:val="00BC280F"/>
    <w:rsid w:val="00BC28F9"/>
    <w:rsid w:val="00BC2E80"/>
    <w:rsid w:val="00BC3D9B"/>
    <w:rsid w:val="00BC50D3"/>
    <w:rsid w:val="00BC58DA"/>
    <w:rsid w:val="00BC5D36"/>
    <w:rsid w:val="00BC7218"/>
    <w:rsid w:val="00BD0C47"/>
    <w:rsid w:val="00BD0FA3"/>
    <w:rsid w:val="00BD2ACE"/>
    <w:rsid w:val="00BD34F1"/>
    <w:rsid w:val="00BD3686"/>
    <w:rsid w:val="00BD4B77"/>
    <w:rsid w:val="00BD5016"/>
    <w:rsid w:val="00BD5B7F"/>
    <w:rsid w:val="00BD6020"/>
    <w:rsid w:val="00BD6323"/>
    <w:rsid w:val="00BD755F"/>
    <w:rsid w:val="00BD7B39"/>
    <w:rsid w:val="00BE332A"/>
    <w:rsid w:val="00BE337C"/>
    <w:rsid w:val="00BE3AB8"/>
    <w:rsid w:val="00BE4426"/>
    <w:rsid w:val="00BE4C26"/>
    <w:rsid w:val="00BE58C7"/>
    <w:rsid w:val="00BE6171"/>
    <w:rsid w:val="00BE6D79"/>
    <w:rsid w:val="00BE7014"/>
    <w:rsid w:val="00BE7BE8"/>
    <w:rsid w:val="00BF0634"/>
    <w:rsid w:val="00BF1198"/>
    <w:rsid w:val="00BF4150"/>
    <w:rsid w:val="00BF4394"/>
    <w:rsid w:val="00BF447D"/>
    <w:rsid w:val="00BF49D4"/>
    <w:rsid w:val="00BF5112"/>
    <w:rsid w:val="00BF5AF6"/>
    <w:rsid w:val="00BF5ED6"/>
    <w:rsid w:val="00BF6806"/>
    <w:rsid w:val="00BF7E36"/>
    <w:rsid w:val="00C00FE4"/>
    <w:rsid w:val="00C015D1"/>
    <w:rsid w:val="00C0165A"/>
    <w:rsid w:val="00C03C60"/>
    <w:rsid w:val="00C0434F"/>
    <w:rsid w:val="00C0494F"/>
    <w:rsid w:val="00C053E0"/>
    <w:rsid w:val="00C05987"/>
    <w:rsid w:val="00C07A74"/>
    <w:rsid w:val="00C118D7"/>
    <w:rsid w:val="00C12288"/>
    <w:rsid w:val="00C14934"/>
    <w:rsid w:val="00C1592C"/>
    <w:rsid w:val="00C15B5C"/>
    <w:rsid w:val="00C160FC"/>
    <w:rsid w:val="00C16C82"/>
    <w:rsid w:val="00C16D66"/>
    <w:rsid w:val="00C201E3"/>
    <w:rsid w:val="00C2253F"/>
    <w:rsid w:val="00C2306D"/>
    <w:rsid w:val="00C230C7"/>
    <w:rsid w:val="00C23AE3"/>
    <w:rsid w:val="00C23B85"/>
    <w:rsid w:val="00C24EAC"/>
    <w:rsid w:val="00C25E56"/>
    <w:rsid w:val="00C325E9"/>
    <w:rsid w:val="00C3288C"/>
    <w:rsid w:val="00C33886"/>
    <w:rsid w:val="00C3404C"/>
    <w:rsid w:val="00C35E09"/>
    <w:rsid w:val="00C37A11"/>
    <w:rsid w:val="00C40D3E"/>
    <w:rsid w:val="00C40E12"/>
    <w:rsid w:val="00C41311"/>
    <w:rsid w:val="00C42062"/>
    <w:rsid w:val="00C43D8A"/>
    <w:rsid w:val="00C468E7"/>
    <w:rsid w:val="00C5175D"/>
    <w:rsid w:val="00C51D5B"/>
    <w:rsid w:val="00C52324"/>
    <w:rsid w:val="00C545C5"/>
    <w:rsid w:val="00C6052E"/>
    <w:rsid w:val="00C60A23"/>
    <w:rsid w:val="00C61865"/>
    <w:rsid w:val="00C6250F"/>
    <w:rsid w:val="00C62E6F"/>
    <w:rsid w:val="00C62F9D"/>
    <w:rsid w:val="00C64F8F"/>
    <w:rsid w:val="00C66B28"/>
    <w:rsid w:val="00C71C9A"/>
    <w:rsid w:val="00C71E75"/>
    <w:rsid w:val="00C72428"/>
    <w:rsid w:val="00C730FA"/>
    <w:rsid w:val="00C7315F"/>
    <w:rsid w:val="00C738CF"/>
    <w:rsid w:val="00C74E0E"/>
    <w:rsid w:val="00C75FDB"/>
    <w:rsid w:val="00C763BE"/>
    <w:rsid w:val="00C76745"/>
    <w:rsid w:val="00C81DD6"/>
    <w:rsid w:val="00C82035"/>
    <w:rsid w:val="00C82AFF"/>
    <w:rsid w:val="00C82E43"/>
    <w:rsid w:val="00C8357C"/>
    <w:rsid w:val="00C837B7"/>
    <w:rsid w:val="00C8416C"/>
    <w:rsid w:val="00C855A6"/>
    <w:rsid w:val="00C86065"/>
    <w:rsid w:val="00C861BF"/>
    <w:rsid w:val="00C86906"/>
    <w:rsid w:val="00C8705B"/>
    <w:rsid w:val="00C87473"/>
    <w:rsid w:val="00C903A0"/>
    <w:rsid w:val="00C90D61"/>
    <w:rsid w:val="00C91F09"/>
    <w:rsid w:val="00C932EB"/>
    <w:rsid w:val="00C94416"/>
    <w:rsid w:val="00C95504"/>
    <w:rsid w:val="00C9583B"/>
    <w:rsid w:val="00C95AC3"/>
    <w:rsid w:val="00C97E14"/>
    <w:rsid w:val="00CA0415"/>
    <w:rsid w:val="00CA0B78"/>
    <w:rsid w:val="00CA1135"/>
    <w:rsid w:val="00CA2A1F"/>
    <w:rsid w:val="00CA2D27"/>
    <w:rsid w:val="00CA31C5"/>
    <w:rsid w:val="00CA365F"/>
    <w:rsid w:val="00CA3816"/>
    <w:rsid w:val="00CA3880"/>
    <w:rsid w:val="00CA4043"/>
    <w:rsid w:val="00CA4380"/>
    <w:rsid w:val="00CA5D95"/>
    <w:rsid w:val="00CA67C5"/>
    <w:rsid w:val="00CA7561"/>
    <w:rsid w:val="00CB1041"/>
    <w:rsid w:val="00CB13AD"/>
    <w:rsid w:val="00CB1D14"/>
    <w:rsid w:val="00CB20FD"/>
    <w:rsid w:val="00CB28CE"/>
    <w:rsid w:val="00CB2D1D"/>
    <w:rsid w:val="00CB2DCE"/>
    <w:rsid w:val="00CB5F7F"/>
    <w:rsid w:val="00CB6AC4"/>
    <w:rsid w:val="00CC0340"/>
    <w:rsid w:val="00CC0C44"/>
    <w:rsid w:val="00CC0DED"/>
    <w:rsid w:val="00CC11E9"/>
    <w:rsid w:val="00CC2B46"/>
    <w:rsid w:val="00CC3B5B"/>
    <w:rsid w:val="00CC7C95"/>
    <w:rsid w:val="00CD01B7"/>
    <w:rsid w:val="00CD2BE1"/>
    <w:rsid w:val="00CD40F6"/>
    <w:rsid w:val="00CD421F"/>
    <w:rsid w:val="00CD427A"/>
    <w:rsid w:val="00CD5F35"/>
    <w:rsid w:val="00CD63AB"/>
    <w:rsid w:val="00CD795D"/>
    <w:rsid w:val="00CD7CCF"/>
    <w:rsid w:val="00CE0906"/>
    <w:rsid w:val="00CE1890"/>
    <w:rsid w:val="00CE20EF"/>
    <w:rsid w:val="00CE2C38"/>
    <w:rsid w:val="00CE40FD"/>
    <w:rsid w:val="00CE41EB"/>
    <w:rsid w:val="00CE4C1B"/>
    <w:rsid w:val="00CE5A7E"/>
    <w:rsid w:val="00CE6312"/>
    <w:rsid w:val="00CE665A"/>
    <w:rsid w:val="00CE6C37"/>
    <w:rsid w:val="00CE7C1C"/>
    <w:rsid w:val="00CF0645"/>
    <w:rsid w:val="00CF2413"/>
    <w:rsid w:val="00CF2E1A"/>
    <w:rsid w:val="00CF303A"/>
    <w:rsid w:val="00CF5B60"/>
    <w:rsid w:val="00CF74B8"/>
    <w:rsid w:val="00CF7C46"/>
    <w:rsid w:val="00D0087A"/>
    <w:rsid w:val="00D0178F"/>
    <w:rsid w:val="00D02A7B"/>
    <w:rsid w:val="00D02D94"/>
    <w:rsid w:val="00D03394"/>
    <w:rsid w:val="00D044F8"/>
    <w:rsid w:val="00D04A0D"/>
    <w:rsid w:val="00D058B4"/>
    <w:rsid w:val="00D0627F"/>
    <w:rsid w:val="00D06C82"/>
    <w:rsid w:val="00D06F1D"/>
    <w:rsid w:val="00D075AB"/>
    <w:rsid w:val="00D07E67"/>
    <w:rsid w:val="00D101BA"/>
    <w:rsid w:val="00D10FB6"/>
    <w:rsid w:val="00D114BA"/>
    <w:rsid w:val="00D11D07"/>
    <w:rsid w:val="00D11D13"/>
    <w:rsid w:val="00D12318"/>
    <w:rsid w:val="00D13B96"/>
    <w:rsid w:val="00D14EBC"/>
    <w:rsid w:val="00D14FCB"/>
    <w:rsid w:val="00D1596B"/>
    <w:rsid w:val="00D159C2"/>
    <w:rsid w:val="00D16BBF"/>
    <w:rsid w:val="00D17053"/>
    <w:rsid w:val="00D17C5F"/>
    <w:rsid w:val="00D20457"/>
    <w:rsid w:val="00D20773"/>
    <w:rsid w:val="00D20EB5"/>
    <w:rsid w:val="00D216DC"/>
    <w:rsid w:val="00D21E50"/>
    <w:rsid w:val="00D22D67"/>
    <w:rsid w:val="00D25783"/>
    <w:rsid w:val="00D25886"/>
    <w:rsid w:val="00D2623A"/>
    <w:rsid w:val="00D27D94"/>
    <w:rsid w:val="00D30F3E"/>
    <w:rsid w:val="00D32700"/>
    <w:rsid w:val="00D32746"/>
    <w:rsid w:val="00D32C6A"/>
    <w:rsid w:val="00D33B13"/>
    <w:rsid w:val="00D348AE"/>
    <w:rsid w:val="00D348D6"/>
    <w:rsid w:val="00D3554E"/>
    <w:rsid w:val="00D35B33"/>
    <w:rsid w:val="00D35E33"/>
    <w:rsid w:val="00D375C6"/>
    <w:rsid w:val="00D40463"/>
    <w:rsid w:val="00D416E6"/>
    <w:rsid w:val="00D4316E"/>
    <w:rsid w:val="00D43857"/>
    <w:rsid w:val="00D440A9"/>
    <w:rsid w:val="00D47570"/>
    <w:rsid w:val="00D4779D"/>
    <w:rsid w:val="00D47E14"/>
    <w:rsid w:val="00D50357"/>
    <w:rsid w:val="00D50406"/>
    <w:rsid w:val="00D52241"/>
    <w:rsid w:val="00D54702"/>
    <w:rsid w:val="00D56AF1"/>
    <w:rsid w:val="00D57ED5"/>
    <w:rsid w:val="00D6030F"/>
    <w:rsid w:val="00D61433"/>
    <w:rsid w:val="00D61BDA"/>
    <w:rsid w:val="00D62C51"/>
    <w:rsid w:val="00D66063"/>
    <w:rsid w:val="00D662C3"/>
    <w:rsid w:val="00D67B10"/>
    <w:rsid w:val="00D7370B"/>
    <w:rsid w:val="00D747BF"/>
    <w:rsid w:val="00D75E99"/>
    <w:rsid w:val="00D760CD"/>
    <w:rsid w:val="00D77F28"/>
    <w:rsid w:val="00D80068"/>
    <w:rsid w:val="00D81E3B"/>
    <w:rsid w:val="00D826A0"/>
    <w:rsid w:val="00D82B5A"/>
    <w:rsid w:val="00D82BFD"/>
    <w:rsid w:val="00D82FFA"/>
    <w:rsid w:val="00D836A0"/>
    <w:rsid w:val="00D84941"/>
    <w:rsid w:val="00D8578C"/>
    <w:rsid w:val="00D85FC4"/>
    <w:rsid w:val="00D869AB"/>
    <w:rsid w:val="00D86D78"/>
    <w:rsid w:val="00D90528"/>
    <w:rsid w:val="00D91BF8"/>
    <w:rsid w:val="00D92287"/>
    <w:rsid w:val="00D93D64"/>
    <w:rsid w:val="00D9422F"/>
    <w:rsid w:val="00D9463D"/>
    <w:rsid w:val="00D94C2C"/>
    <w:rsid w:val="00D96443"/>
    <w:rsid w:val="00D9717F"/>
    <w:rsid w:val="00D97735"/>
    <w:rsid w:val="00DA171D"/>
    <w:rsid w:val="00DA2641"/>
    <w:rsid w:val="00DA2C2B"/>
    <w:rsid w:val="00DA33AB"/>
    <w:rsid w:val="00DA4079"/>
    <w:rsid w:val="00DA40F9"/>
    <w:rsid w:val="00DA4487"/>
    <w:rsid w:val="00DA4CB8"/>
    <w:rsid w:val="00DA4D96"/>
    <w:rsid w:val="00DA5FAF"/>
    <w:rsid w:val="00DB3076"/>
    <w:rsid w:val="00DB3770"/>
    <w:rsid w:val="00DB3F94"/>
    <w:rsid w:val="00DB5271"/>
    <w:rsid w:val="00DB63DF"/>
    <w:rsid w:val="00DB7642"/>
    <w:rsid w:val="00DB7FFA"/>
    <w:rsid w:val="00DC0052"/>
    <w:rsid w:val="00DC06D4"/>
    <w:rsid w:val="00DC1470"/>
    <w:rsid w:val="00DC257E"/>
    <w:rsid w:val="00DC37B3"/>
    <w:rsid w:val="00DC40C0"/>
    <w:rsid w:val="00DC4636"/>
    <w:rsid w:val="00DC4F93"/>
    <w:rsid w:val="00DC5200"/>
    <w:rsid w:val="00DC5365"/>
    <w:rsid w:val="00DC6061"/>
    <w:rsid w:val="00DC7035"/>
    <w:rsid w:val="00DD1200"/>
    <w:rsid w:val="00DD1A3D"/>
    <w:rsid w:val="00DD3ADB"/>
    <w:rsid w:val="00DD3C40"/>
    <w:rsid w:val="00DD4926"/>
    <w:rsid w:val="00DD55F7"/>
    <w:rsid w:val="00DD5D74"/>
    <w:rsid w:val="00DD63A2"/>
    <w:rsid w:val="00DD6F84"/>
    <w:rsid w:val="00DD74B2"/>
    <w:rsid w:val="00DE03E3"/>
    <w:rsid w:val="00DE04DC"/>
    <w:rsid w:val="00DE175D"/>
    <w:rsid w:val="00DE17BF"/>
    <w:rsid w:val="00DE1C36"/>
    <w:rsid w:val="00DE23FB"/>
    <w:rsid w:val="00DE4389"/>
    <w:rsid w:val="00DE4D93"/>
    <w:rsid w:val="00DE56E3"/>
    <w:rsid w:val="00DE644C"/>
    <w:rsid w:val="00DE66C2"/>
    <w:rsid w:val="00DE681E"/>
    <w:rsid w:val="00DE6D28"/>
    <w:rsid w:val="00DE7376"/>
    <w:rsid w:val="00DE78A1"/>
    <w:rsid w:val="00DF07FA"/>
    <w:rsid w:val="00DF0D3E"/>
    <w:rsid w:val="00DF221B"/>
    <w:rsid w:val="00DF2C3C"/>
    <w:rsid w:val="00DF2CD2"/>
    <w:rsid w:val="00DF341E"/>
    <w:rsid w:val="00DF36C3"/>
    <w:rsid w:val="00DF3B5A"/>
    <w:rsid w:val="00DF6133"/>
    <w:rsid w:val="00E010E3"/>
    <w:rsid w:val="00E01754"/>
    <w:rsid w:val="00E01C64"/>
    <w:rsid w:val="00E023B7"/>
    <w:rsid w:val="00E03C60"/>
    <w:rsid w:val="00E057CE"/>
    <w:rsid w:val="00E062D3"/>
    <w:rsid w:val="00E06929"/>
    <w:rsid w:val="00E06B0C"/>
    <w:rsid w:val="00E06C5D"/>
    <w:rsid w:val="00E06C84"/>
    <w:rsid w:val="00E107AC"/>
    <w:rsid w:val="00E111F8"/>
    <w:rsid w:val="00E11D15"/>
    <w:rsid w:val="00E12D78"/>
    <w:rsid w:val="00E14945"/>
    <w:rsid w:val="00E15BAC"/>
    <w:rsid w:val="00E1645E"/>
    <w:rsid w:val="00E17FFC"/>
    <w:rsid w:val="00E20866"/>
    <w:rsid w:val="00E2273A"/>
    <w:rsid w:val="00E24BDA"/>
    <w:rsid w:val="00E25B67"/>
    <w:rsid w:val="00E26865"/>
    <w:rsid w:val="00E27627"/>
    <w:rsid w:val="00E30510"/>
    <w:rsid w:val="00E31CC6"/>
    <w:rsid w:val="00E3204A"/>
    <w:rsid w:val="00E340D9"/>
    <w:rsid w:val="00E35863"/>
    <w:rsid w:val="00E358C4"/>
    <w:rsid w:val="00E3593F"/>
    <w:rsid w:val="00E36003"/>
    <w:rsid w:val="00E3706B"/>
    <w:rsid w:val="00E37383"/>
    <w:rsid w:val="00E37A95"/>
    <w:rsid w:val="00E4039A"/>
    <w:rsid w:val="00E403BF"/>
    <w:rsid w:val="00E40433"/>
    <w:rsid w:val="00E40FC1"/>
    <w:rsid w:val="00E41DF4"/>
    <w:rsid w:val="00E43DC4"/>
    <w:rsid w:val="00E43F43"/>
    <w:rsid w:val="00E45433"/>
    <w:rsid w:val="00E46111"/>
    <w:rsid w:val="00E462F9"/>
    <w:rsid w:val="00E46393"/>
    <w:rsid w:val="00E466D2"/>
    <w:rsid w:val="00E47BD2"/>
    <w:rsid w:val="00E51B96"/>
    <w:rsid w:val="00E53274"/>
    <w:rsid w:val="00E538F4"/>
    <w:rsid w:val="00E53BEE"/>
    <w:rsid w:val="00E5488A"/>
    <w:rsid w:val="00E55629"/>
    <w:rsid w:val="00E556C6"/>
    <w:rsid w:val="00E56B46"/>
    <w:rsid w:val="00E572E1"/>
    <w:rsid w:val="00E615CA"/>
    <w:rsid w:val="00E61805"/>
    <w:rsid w:val="00E63C86"/>
    <w:rsid w:val="00E64D8A"/>
    <w:rsid w:val="00E650E3"/>
    <w:rsid w:val="00E66C0C"/>
    <w:rsid w:val="00E67B8F"/>
    <w:rsid w:val="00E72409"/>
    <w:rsid w:val="00E72E2F"/>
    <w:rsid w:val="00E74812"/>
    <w:rsid w:val="00E76B11"/>
    <w:rsid w:val="00E7701F"/>
    <w:rsid w:val="00E7798A"/>
    <w:rsid w:val="00E8006C"/>
    <w:rsid w:val="00E80832"/>
    <w:rsid w:val="00E83A92"/>
    <w:rsid w:val="00E85131"/>
    <w:rsid w:val="00E86D01"/>
    <w:rsid w:val="00E86F60"/>
    <w:rsid w:val="00E87C7E"/>
    <w:rsid w:val="00E87E8B"/>
    <w:rsid w:val="00E90574"/>
    <w:rsid w:val="00E90F81"/>
    <w:rsid w:val="00E924F8"/>
    <w:rsid w:val="00E9284F"/>
    <w:rsid w:val="00E92B11"/>
    <w:rsid w:val="00E933AB"/>
    <w:rsid w:val="00E93E81"/>
    <w:rsid w:val="00E94EE0"/>
    <w:rsid w:val="00E94F14"/>
    <w:rsid w:val="00E9619A"/>
    <w:rsid w:val="00EA009B"/>
    <w:rsid w:val="00EA1D5E"/>
    <w:rsid w:val="00EA22A8"/>
    <w:rsid w:val="00EA4D4D"/>
    <w:rsid w:val="00EA4DD3"/>
    <w:rsid w:val="00EA5677"/>
    <w:rsid w:val="00EA5A98"/>
    <w:rsid w:val="00EB0850"/>
    <w:rsid w:val="00EB1767"/>
    <w:rsid w:val="00EB2D15"/>
    <w:rsid w:val="00EB334E"/>
    <w:rsid w:val="00EB373A"/>
    <w:rsid w:val="00EB6B44"/>
    <w:rsid w:val="00EB76A9"/>
    <w:rsid w:val="00EB7EA3"/>
    <w:rsid w:val="00EC0B4E"/>
    <w:rsid w:val="00EC1533"/>
    <w:rsid w:val="00EC2B75"/>
    <w:rsid w:val="00EC31A8"/>
    <w:rsid w:val="00EC3F2B"/>
    <w:rsid w:val="00EC620E"/>
    <w:rsid w:val="00EC75DA"/>
    <w:rsid w:val="00ED224B"/>
    <w:rsid w:val="00ED22AE"/>
    <w:rsid w:val="00ED2312"/>
    <w:rsid w:val="00ED3531"/>
    <w:rsid w:val="00ED4AA8"/>
    <w:rsid w:val="00ED509D"/>
    <w:rsid w:val="00ED559E"/>
    <w:rsid w:val="00ED687A"/>
    <w:rsid w:val="00ED7B13"/>
    <w:rsid w:val="00EE02D8"/>
    <w:rsid w:val="00EE0B19"/>
    <w:rsid w:val="00EE106A"/>
    <w:rsid w:val="00EE12A6"/>
    <w:rsid w:val="00EE200D"/>
    <w:rsid w:val="00EE30C3"/>
    <w:rsid w:val="00EE3878"/>
    <w:rsid w:val="00EE6C0B"/>
    <w:rsid w:val="00EF07AA"/>
    <w:rsid w:val="00EF0FF3"/>
    <w:rsid w:val="00EF1367"/>
    <w:rsid w:val="00EF1817"/>
    <w:rsid w:val="00EF1ED0"/>
    <w:rsid w:val="00EF273E"/>
    <w:rsid w:val="00EF27D2"/>
    <w:rsid w:val="00EF2801"/>
    <w:rsid w:val="00EF3566"/>
    <w:rsid w:val="00EF3F18"/>
    <w:rsid w:val="00F00113"/>
    <w:rsid w:val="00F00DAD"/>
    <w:rsid w:val="00F00FD1"/>
    <w:rsid w:val="00F01267"/>
    <w:rsid w:val="00F01565"/>
    <w:rsid w:val="00F0421E"/>
    <w:rsid w:val="00F04621"/>
    <w:rsid w:val="00F054EB"/>
    <w:rsid w:val="00F055BA"/>
    <w:rsid w:val="00F059C0"/>
    <w:rsid w:val="00F07080"/>
    <w:rsid w:val="00F0759A"/>
    <w:rsid w:val="00F07840"/>
    <w:rsid w:val="00F12382"/>
    <w:rsid w:val="00F13882"/>
    <w:rsid w:val="00F13E05"/>
    <w:rsid w:val="00F13F63"/>
    <w:rsid w:val="00F145CA"/>
    <w:rsid w:val="00F145E2"/>
    <w:rsid w:val="00F1504E"/>
    <w:rsid w:val="00F158BB"/>
    <w:rsid w:val="00F15B91"/>
    <w:rsid w:val="00F15BD2"/>
    <w:rsid w:val="00F16D59"/>
    <w:rsid w:val="00F1721E"/>
    <w:rsid w:val="00F1758B"/>
    <w:rsid w:val="00F17738"/>
    <w:rsid w:val="00F20240"/>
    <w:rsid w:val="00F211CE"/>
    <w:rsid w:val="00F21CA6"/>
    <w:rsid w:val="00F23035"/>
    <w:rsid w:val="00F23556"/>
    <w:rsid w:val="00F2403A"/>
    <w:rsid w:val="00F25E7E"/>
    <w:rsid w:val="00F2603F"/>
    <w:rsid w:val="00F27388"/>
    <w:rsid w:val="00F3000D"/>
    <w:rsid w:val="00F32581"/>
    <w:rsid w:val="00F332F0"/>
    <w:rsid w:val="00F3388C"/>
    <w:rsid w:val="00F350A8"/>
    <w:rsid w:val="00F359EE"/>
    <w:rsid w:val="00F3743A"/>
    <w:rsid w:val="00F40474"/>
    <w:rsid w:val="00F417C9"/>
    <w:rsid w:val="00F4188C"/>
    <w:rsid w:val="00F42124"/>
    <w:rsid w:val="00F42C15"/>
    <w:rsid w:val="00F4390D"/>
    <w:rsid w:val="00F44196"/>
    <w:rsid w:val="00F449D1"/>
    <w:rsid w:val="00F45A36"/>
    <w:rsid w:val="00F4699A"/>
    <w:rsid w:val="00F51C16"/>
    <w:rsid w:val="00F51EC6"/>
    <w:rsid w:val="00F5208C"/>
    <w:rsid w:val="00F531B0"/>
    <w:rsid w:val="00F53D9D"/>
    <w:rsid w:val="00F54638"/>
    <w:rsid w:val="00F5692C"/>
    <w:rsid w:val="00F56D62"/>
    <w:rsid w:val="00F606DD"/>
    <w:rsid w:val="00F614A1"/>
    <w:rsid w:val="00F6384D"/>
    <w:rsid w:val="00F64085"/>
    <w:rsid w:val="00F64CCD"/>
    <w:rsid w:val="00F64E22"/>
    <w:rsid w:val="00F702A0"/>
    <w:rsid w:val="00F7033A"/>
    <w:rsid w:val="00F70375"/>
    <w:rsid w:val="00F71BF1"/>
    <w:rsid w:val="00F7638F"/>
    <w:rsid w:val="00F76767"/>
    <w:rsid w:val="00F767ED"/>
    <w:rsid w:val="00F80219"/>
    <w:rsid w:val="00F8046A"/>
    <w:rsid w:val="00F81307"/>
    <w:rsid w:val="00F81960"/>
    <w:rsid w:val="00F81F19"/>
    <w:rsid w:val="00F81FA1"/>
    <w:rsid w:val="00F8206D"/>
    <w:rsid w:val="00F840F7"/>
    <w:rsid w:val="00F852D6"/>
    <w:rsid w:val="00F867E0"/>
    <w:rsid w:val="00F868B1"/>
    <w:rsid w:val="00F91278"/>
    <w:rsid w:val="00F91D01"/>
    <w:rsid w:val="00F92AD8"/>
    <w:rsid w:val="00F93573"/>
    <w:rsid w:val="00F93874"/>
    <w:rsid w:val="00F944E7"/>
    <w:rsid w:val="00F9504D"/>
    <w:rsid w:val="00F96968"/>
    <w:rsid w:val="00F9759F"/>
    <w:rsid w:val="00F9782B"/>
    <w:rsid w:val="00FA0AAB"/>
    <w:rsid w:val="00FA1D44"/>
    <w:rsid w:val="00FA1E49"/>
    <w:rsid w:val="00FA202B"/>
    <w:rsid w:val="00FA3122"/>
    <w:rsid w:val="00FA3431"/>
    <w:rsid w:val="00FA39B8"/>
    <w:rsid w:val="00FA4952"/>
    <w:rsid w:val="00FB01A5"/>
    <w:rsid w:val="00FB047C"/>
    <w:rsid w:val="00FB322F"/>
    <w:rsid w:val="00FB4903"/>
    <w:rsid w:val="00FB679D"/>
    <w:rsid w:val="00FB6D92"/>
    <w:rsid w:val="00FC02F4"/>
    <w:rsid w:val="00FC0442"/>
    <w:rsid w:val="00FC1187"/>
    <w:rsid w:val="00FC1A3F"/>
    <w:rsid w:val="00FC2D43"/>
    <w:rsid w:val="00FC30AD"/>
    <w:rsid w:val="00FC4072"/>
    <w:rsid w:val="00FC4F60"/>
    <w:rsid w:val="00FC576A"/>
    <w:rsid w:val="00FD1059"/>
    <w:rsid w:val="00FD11F6"/>
    <w:rsid w:val="00FD12EA"/>
    <w:rsid w:val="00FD201C"/>
    <w:rsid w:val="00FD2B6F"/>
    <w:rsid w:val="00FD2F8F"/>
    <w:rsid w:val="00FD3172"/>
    <w:rsid w:val="00FD66C2"/>
    <w:rsid w:val="00FD6E3F"/>
    <w:rsid w:val="00FD79B8"/>
    <w:rsid w:val="00FE023B"/>
    <w:rsid w:val="00FE6B9D"/>
    <w:rsid w:val="00FF0480"/>
    <w:rsid w:val="00FF6A39"/>
    <w:rsid w:val="00FF738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2C666"/>
  <w15:chartTrackingRefBased/>
  <w15:docId w15:val="{143827DB-92C4-41C3-898C-73FF2A53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03444"/>
    <w:pPr>
      <w:adjustRightInd w:val="0"/>
      <w:spacing w:after="0" w:line="240" w:lineRule="auto"/>
    </w:pPr>
    <w:rPr>
      <w:rFonts w:ascii="Arial" w:eastAsia="Batang" w:hAnsi="Arial" w:cs="Times New Roman"/>
      <w:sz w:val="20"/>
      <w:szCs w:val="20"/>
      <w:lang w:val="en-GB" w:eastAsia="en-GB"/>
    </w:rPr>
  </w:style>
  <w:style w:type="paragraph" w:styleId="Heading1">
    <w:name w:val="heading 1"/>
    <w:basedOn w:val="Normal"/>
    <w:next w:val="Normal"/>
    <w:link w:val="Heading1Char"/>
    <w:uiPriority w:val="9"/>
    <w:qFormat/>
    <w:rsid w:val="00AE1609"/>
    <w:pPr>
      <w:keepNext/>
      <w:keepLines/>
      <w:spacing w:before="240"/>
      <w:outlineLvl w:val="0"/>
    </w:pPr>
    <w:rPr>
      <w:rFonts w:asciiTheme="majorHAnsi" w:eastAsiaTheme="majorEastAsia" w:hAnsiTheme="majorHAnsi" w:cstheme="majorBidi"/>
      <w:color w:val="C90F1C" w:themeColor="accent1" w:themeShade="BF"/>
      <w:sz w:val="32"/>
      <w:szCs w:val="32"/>
    </w:rPr>
  </w:style>
  <w:style w:type="paragraph" w:styleId="Heading2">
    <w:name w:val="heading 2"/>
    <w:basedOn w:val="Normal"/>
    <w:next w:val="Normal"/>
    <w:link w:val="Heading2Char"/>
    <w:uiPriority w:val="9"/>
    <w:semiHidden/>
    <w:unhideWhenUsed/>
    <w:qFormat/>
    <w:rsid w:val="00AE1609"/>
    <w:pPr>
      <w:keepNext/>
      <w:keepLines/>
      <w:spacing w:before="40"/>
      <w:outlineLvl w:val="1"/>
    </w:pPr>
    <w:rPr>
      <w:rFonts w:asciiTheme="majorHAnsi" w:eastAsiaTheme="majorEastAsia" w:hAnsiTheme="majorHAnsi" w:cstheme="majorBidi"/>
      <w:color w:val="C90F1C" w:themeColor="accent1" w:themeShade="BF"/>
      <w:sz w:val="26"/>
      <w:szCs w:val="26"/>
    </w:rPr>
  </w:style>
  <w:style w:type="paragraph" w:styleId="Heading3">
    <w:name w:val="heading 3"/>
    <w:basedOn w:val="Normal"/>
    <w:next w:val="Normal"/>
    <w:link w:val="Heading3Char"/>
    <w:uiPriority w:val="9"/>
    <w:semiHidden/>
    <w:unhideWhenUsed/>
    <w:qFormat/>
    <w:rsid w:val="00AE1609"/>
    <w:pPr>
      <w:keepNext/>
      <w:keepLines/>
      <w:spacing w:before="40"/>
      <w:outlineLvl w:val="2"/>
    </w:pPr>
    <w:rPr>
      <w:rFonts w:asciiTheme="majorHAnsi" w:eastAsiaTheme="majorEastAsia" w:hAnsiTheme="majorHAnsi" w:cstheme="majorBidi"/>
      <w:color w:val="850A1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AE1609"/>
    <w:pPr>
      <w:spacing w:after="200"/>
      <w:jc w:val="both"/>
    </w:pPr>
  </w:style>
  <w:style w:type="paragraph" w:customStyle="1" w:styleId="Body1">
    <w:name w:val="Body 1"/>
    <w:basedOn w:val="Body"/>
    <w:rsid w:val="00AE1609"/>
    <w:pPr>
      <w:ind w:left="720"/>
    </w:pPr>
  </w:style>
  <w:style w:type="paragraph" w:customStyle="1" w:styleId="Body2">
    <w:name w:val="Body 2"/>
    <w:basedOn w:val="Body"/>
    <w:rsid w:val="00AE1609"/>
    <w:pPr>
      <w:ind w:left="720"/>
    </w:pPr>
  </w:style>
  <w:style w:type="paragraph" w:customStyle="1" w:styleId="Body3">
    <w:name w:val="Body 3"/>
    <w:basedOn w:val="Body"/>
    <w:uiPriority w:val="99"/>
    <w:rsid w:val="00AE1609"/>
    <w:pPr>
      <w:ind w:left="1440"/>
    </w:pPr>
  </w:style>
  <w:style w:type="paragraph" w:customStyle="1" w:styleId="Body4">
    <w:name w:val="Body 4"/>
    <w:basedOn w:val="Body"/>
    <w:rsid w:val="00AE1609"/>
    <w:pPr>
      <w:ind w:left="2160"/>
    </w:pPr>
  </w:style>
  <w:style w:type="paragraph" w:customStyle="1" w:styleId="Body5">
    <w:name w:val="Body 5"/>
    <w:basedOn w:val="Body"/>
    <w:rsid w:val="00AE1609"/>
    <w:pPr>
      <w:ind w:left="2880"/>
    </w:pPr>
  </w:style>
  <w:style w:type="paragraph" w:customStyle="1" w:styleId="Body6">
    <w:name w:val="Body 6"/>
    <w:basedOn w:val="Body"/>
    <w:rsid w:val="00AE1609"/>
    <w:pPr>
      <w:ind w:left="3600"/>
    </w:pPr>
  </w:style>
  <w:style w:type="paragraph" w:customStyle="1" w:styleId="Bullet1">
    <w:name w:val="Bullet 1"/>
    <w:basedOn w:val="Body"/>
    <w:rsid w:val="00AE1609"/>
    <w:pPr>
      <w:numPr>
        <w:numId w:val="6"/>
      </w:numPr>
    </w:pPr>
    <w:rPr>
      <w:rFonts w:asciiTheme="minorHAnsi" w:hAnsiTheme="minorHAnsi"/>
    </w:rPr>
  </w:style>
  <w:style w:type="paragraph" w:customStyle="1" w:styleId="Bullet2">
    <w:name w:val="Bullet 2"/>
    <w:basedOn w:val="Body"/>
    <w:rsid w:val="00AE1609"/>
    <w:pPr>
      <w:numPr>
        <w:ilvl w:val="1"/>
        <w:numId w:val="6"/>
      </w:numPr>
      <w:tabs>
        <w:tab w:val="left" w:pos="1440"/>
      </w:tabs>
      <w:outlineLvl w:val="1"/>
    </w:pPr>
    <w:rPr>
      <w:rFonts w:asciiTheme="minorHAnsi" w:hAnsiTheme="minorHAnsi"/>
    </w:rPr>
  </w:style>
  <w:style w:type="paragraph" w:customStyle="1" w:styleId="Bullet3">
    <w:name w:val="Bullet 3"/>
    <w:basedOn w:val="Body"/>
    <w:rsid w:val="00AE1609"/>
    <w:pPr>
      <w:numPr>
        <w:ilvl w:val="2"/>
        <w:numId w:val="6"/>
      </w:numPr>
      <w:tabs>
        <w:tab w:val="left" w:pos="2160"/>
      </w:tabs>
      <w:outlineLvl w:val="2"/>
    </w:pPr>
    <w:rPr>
      <w:rFonts w:asciiTheme="minorHAnsi" w:hAnsiTheme="minorHAnsi"/>
    </w:rPr>
  </w:style>
  <w:style w:type="paragraph" w:customStyle="1" w:styleId="Bullet4">
    <w:name w:val="Bullet 4"/>
    <w:basedOn w:val="Body"/>
    <w:rsid w:val="00AE1609"/>
    <w:pPr>
      <w:numPr>
        <w:ilvl w:val="3"/>
        <w:numId w:val="6"/>
      </w:numPr>
      <w:tabs>
        <w:tab w:val="left" w:pos="2880"/>
      </w:tabs>
      <w:outlineLvl w:val="3"/>
    </w:pPr>
    <w:rPr>
      <w:rFonts w:asciiTheme="minorHAnsi" w:hAnsiTheme="minorHAnsi"/>
    </w:rPr>
  </w:style>
  <w:style w:type="paragraph" w:customStyle="1" w:styleId="Bullet5">
    <w:name w:val="Bullet 5"/>
    <w:basedOn w:val="Body"/>
    <w:rsid w:val="00AE1609"/>
    <w:pPr>
      <w:numPr>
        <w:ilvl w:val="4"/>
        <w:numId w:val="6"/>
      </w:numPr>
      <w:tabs>
        <w:tab w:val="clear" w:pos="3601"/>
        <w:tab w:val="left" w:pos="3600"/>
      </w:tabs>
      <w:outlineLvl w:val="4"/>
    </w:pPr>
    <w:rPr>
      <w:rFonts w:asciiTheme="minorHAnsi" w:hAnsiTheme="minorHAnsi"/>
    </w:rPr>
  </w:style>
  <w:style w:type="paragraph" w:customStyle="1" w:styleId="Bullet6">
    <w:name w:val="Bullet 6"/>
    <w:basedOn w:val="Body"/>
    <w:rsid w:val="00AE1609"/>
    <w:pPr>
      <w:numPr>
        <w:ilvl w:val="5"/>
        <w:numId w:val="6"/>
      </w:numPr>
      <w:tabs>
        <w:tab w:val="clear" w:pos="4321"/>
        <w:tab w:val="left" w:pos="4320"/>
      </w:tabs>
      <w:outlineLvl w:val="5"/>
    </w:pPr>
    <w:rPr>
      <w:rFonts w:asciiTheme="minorHAnsi" w:hAnsiTheme="minorHAnsi"/>
    </w:rPr>
  </w:style>
  <w:style w:type="paragraph" w:customStyle="1" w:styleId="Bullet7">
    <w:name w:val="Bullet 7"/>
    <w:basedOn w:val="Body"/>
    <w:rsid w:val="00AE1609"/>
    <w:pPr>
      <w:numPr>
        <w:ilvl w:val="6"/>
        <w:numId w:val="6"/>
      </w:numPr>
      <w:tabs>
        <w:tab w:val="clear" w:pos="5041"/>
        <w:tab w:val="left" w:pos="5040"/>
      </w:tabs>
      <w:outlineLvl w:val="6"/>
    </w:pPr>
    <w:rPr>
      <w:rFonts w:asciiTheme="minorHAnsi" w:hAnsiTheme="minorHAnsi"/>
    </w:rPr>
  </w:style>
  <w:style w:type="paragraph" w:customStyle="1" w:styleId="Bullet8">
    <w:name w:val="Bullet 8"/>
    <w:basedOn w:val="Body"/>
    <w:rsid w:val="00AE1609"/>
    <w:pPr>
      <w:numPr>
        <w:ilvl w:val="7"/>
        <w:numId w:val="6"/>
      </w:numPr>
      <w:tabs>
        <w:tab w:val="clear" w:pos="5761"/>
        <w:tab w:val="left" w:pos="5760"/>
      </w:tabs>
      <w:outlineLvl w:val="7"/>
    </w:pPr>
    <w:rPr>
      <w:rFonts w:asciiTheme="minorHAnsi" w:hAnsiTheme="minorHAnsi"/>
    </w:rPr>
  </w:style>
  <w:style w:type="paragraph" w:customStyle="1" w:styleId="Bullet9">
    <w:name w:val="Bullet 9"/>
    <w:basedOn w:val="Body"/>
    <w:rsid w:val="00AE1609"/>
    <w:pPr>
      <w:numPr>
        <w:ilvl w:val="8"/>
        <w:numId w:val="6"/>
      </w:numPr>
      <w:tabs>
        <w:tab w:val="clear" w:pos="6481"/>
        <w:tab w:val="left" w:pos="6480"/>
      </w:tabs>
      <w:outlineLvl w:val="8"/>
    </w:pPr>
    <w:rPr>
      <w:rFonts w:asciiTheme="minorHAnsi" w:hAnsiTheme="minorHAnsi"/>
    </w:rPr>
  </w:style>
  <w:style w:type="table" w:customStyle="1" w:styleId="BurgesSalmonTable">
    <w:name w:val="Burges Salmon Table"/>
    <w:basedOn w:val="TableNormal"/>
    <w:uiPriority w:val="99"/>
    <w:rsid w:val="00AE1609"/>
    <w:pPr>
      <w:spacing w:after="0" w:line="240" w:lineRule="auto"/>
    </w:pPr>
    <w:rPr>
      <w:rFonts w:ascii="Arial" w:eastAsia="Batang" w:hAnsi="Arial" w:cs="Times New Roman"/>
      <w:sz w:val="20"/>
      <w:szCs w:val="20"/>
      <w:lang w:val="en-GB" w:eastAsia="en-GB"/>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Caption">
    <w:name w:val="caption"/>
    <w:basedOn w:val="Normal"/>
    <w:next w:val="Normal"/>
    <w:uiPriority w:val="35"/>
    <w:unhideWhenUsed/>
    <w:qFormat/>
    <w:rsid w:val="00AE1609"/>
    <w:pPr>
      <w:spacing w:after="200"/>
    </w:pPr>
    <w:rPr>
      <w:b/>
      <w:bCs/>
      <w:color w:val="DF1995" w:themeColor="text1"/>
      <w:sz w:val="18"/>
      <w:szCs w:val="18"/>
    </w:rPr>
  </w:style>
  <w:style w:type="character" w:styleId="EndnoteReference">
    <w:name w:val="endnote reference"/>
    <w:basedOn w:val="DefaultParagraphFont"/>
    <w:semiHidden/>
    <w:rsid w:val="00AE1609"/>
    <w:rPr>
      <w:vertAlign w:val="superscript"/>
    </w:rPr>
  </w:style>
  <w:style w:type="paragraph" w:styleId="EndnoteText">
    <w:name w:val="endnote text"/>
    <w:basedOn w:val="Normal"/>
    <w:link w:val="EndnoteTextChar"/>
    <w:semiHidden/>
    <w:rsid w:val="00AE1609"/>
  </w:style>
  <w:style w:type="character" w:customStyle="1" w:styleId="EndnoteTextChar">
    <w:name w:val="Endnote Text Char"/>
    <w:basedOn w:val="DefaultParagraphFont"/>
    <w:link w:val="EndnoteText"/>
    <w:semiHidden/>
    <w:rsid w:val="00CD40F6"/>
    <w:rPr>
      <w:rFonts w:ascii="Arial" w:eastAsia="Batang" w:hAnsi="Arial" w:cs="Times New Roman"/>
      <w:sz w:val="20"/>
      <w:szCs w:val="20"/>
      <w:lang w:val="en-GB" w:eastAsia="en-GB"/>
    </w:rPr>
  </w:style>
  <w:style w:type="character" w:styleId="FollowedHyperlink">
    <w:name w:val="FollowedHyperlink"/>
    <w:basedOn w:val="DefaultParagraphFont"/>
    <w:uiPriority w:val="99"/>
    <w:semiHidden/>
    <w:unhideWhenUsed/>
    <w:rsid w:val="00AE1609"/>
    <w:rPr>
      <w:color w:val="009CA6" w:themeColor="accent5"/>
      <w:u w:val="single"/>
    </w:rPr>
  </w:style>
  <w:style w:type="paragraph" w:styleId="Footer">
    <w:name w:val="footer"/>
    <w:basedOn w:val="Normal"/>
    <w:link w:val="FooterChar"/>
    <w:uiPriority w:val="99"/>
    <w:rsid w:val="00AE1609"/>
    <w:pPr>
      <w:tabs>
        <w:tab w:val="center" w:pos="4240"/>
        <w:tab w:val="right" w:pos="8460"/>
      </w:tabs>
    </w:pPr>
    <w:rPr>
      <w:sz w:val="16"/>
    </w:rPr>
  </w:style>
  <w:style w:type="character" w:customStyle="1" w:styleId="FooterChar">
    <w:name w:val="Footer Char"/>
    <w:basedOn w:val="DefaultParagraphFont"/>
    <w:link w:val="Footer"/>
    <w:uiPriority w:val="99"/>
    <w:rsid w:val="00AE1609"/>
    <w:rPr>
      <w:rFonts w:ascii="Arial" w:eastAsia="Batang" w:hAnsi="Arial" w:cs="Times New Roman"/>
      <w:sz w:val="16"/>
      <w:szCs w:val="20"/>
      <w:lang w:val="en-GB" w:eastAsia="en-GB"/>
    </w:rPr>
  </w:style>
  <w:style w:type="character" w:styleId="FootnoteReference">
    <w:name w:val="footnote reference"/>
    <w:basedOn w:val="DefaultParagraphFont"/>
    <w:uiPriority w:val="99"/>
    <w:semiHidden/>
    <w:rsid w:val="00AE1609"/>
    <w:rPr>
      <w:sz w:val="16"/>
      <w:vertAlign w:val="superscript"/>
    </w:rPr>
  </w:style>
  <w:style w:type="paragraph" w:styleId="FootnoteText">
    <w:name w:val="footnote text"/>
    <w:basedOn w:val="Normal"/>
    <w:link w:val="FootnoteTextChar"/>
    <w:uiPriority w:val="99"/>
    <w:semiHidden/>
    <w:rsid w:val="000B79EB"/>
    <w:pPr>
      <w:ind w:left="284" w:hanging="284"/>
    </w:pPr>
    <w:rPr>
      <w:sz w:val="16"/>
    </w:rPr>
  </w:style>
  <w:style w:type="character" w:customStyle="1" w:styleId="FootnoteTextChar">
    <w:name w:val="Footnote Text Char"/>
    <w:basedOn w:val="DefaultParagraphFont"/>
    <w:link w:val="FootnoteText"/>
    <w:uiPriority w:val="99"/>
    <w:semiHidden/>
    <w:rsid w:val="000B79EB"/>
    <w:rPr>
      <w:rFonts w:ascii="Arial" w:eastAsia="Batang" w:hAnsi="Arial" w:cs="Times New Roman"/>
      <w:sz w:val="16"/>
      <w:szCs w:val="20"/>
      <w:lang w:val="en-GB" w:eastAsia="en-GB"/>
    </w:rPr>
  </w:style>
  <w:style w:type="paragraph" w:styleId="Header">
    <w:name w:val="header"/>
    <w:basedOn w:val="Normal"/>
    <w:link w:val="HeaderChar"/>
    <w:uiPriority w:val="99"/>
    <w:rsid w:val="00AE1609"/>
    <w:rPr>
      <w:sz w:val="16"/>
    </w:rPr>
  </w:style>
  <w:style w:type="character" w:customStyle="1" w:styleId="HeaderChar">
    <w:name w:val="Header Char"/>
    <w:basedOn w:val="DefaultParagraphFont"/>
    <w:link w:val="Header"/>
    <w:uiPriority w:val="99"/>
    <w:rsid w:val="00AE1609"/>
    <w:rPr>
      <w:rFonts w:ascii="Arial" w:eastAsia="Batang" w:hAnsi="Arial" w:cs="Times New Roman"/>
      <w:sz w:val="16"/>
      <w:szCs w:val="20"/>
      <w:lang w:val="en-GB" w:eastAsia="en-GB"/>
    </w:rPr>
  </w:style>
  <w:style w:type="character" w:styleId="Hyperlink">
    <w:name w:val="Hyperlink"/>
    <w:basedOn w:val="DefaultParagraphFont"/>
    <w:uiPriority w:val="99"/>
    <w:unhideWhenUsed/>
    <w:rsid w:val="00AE1609"/>
    <w:rPr>
      <w:color w:val="DF1995" w:themeColor="text1"/>
      <w:u w:val="single"/>
    </w:rPr>
  </w:style>
  <w:style w:type="paragraph" w:customStyle="1" w:styleId="Level1">
    <w:name w:val="Level 1"/>
    <w:basedOn w:val="Level1Heading"/>
    <w:qFormat/>
    <w:rsid w:val="00AE1609"/>
    <w:pPr>
      <w:keepNext w:val="0"/>
      <w:outlineLvl w:val="9"/>
    </w:pPr>
    <w:rPr>
      <w:b w:val="0"/>
      <w:caps w:val="0"/>
    </w:rPr>
  </w:style>
  <w:style w:type="paragraph" w:customStyle="1" w:styleId="Level2">
    <w:name w:val="Level 2"/>
    <w:basedOn w:val="Body"/>
    <w:qFormat/>
    <w:rsid w:val="00AE1609"/>
    <w:pPr>
      <w:numPr>
        <w:ilvl w:val="1"/>
        <w:numId w:val="52"/>
      </w:numPr>
    </w:pPr>
    <w:rPr>
      <w:rFonts w:eastAsia="Arial" w:cs="Arial"/>
    </w:rPr>
  </w:style>
  <w:style w:type="paragraph" w:customStyle="1" w:styleId="Level3">
    <w:name w:val="Level 3"/>
    <w:basedOn w:val="Body"/>
    <w:link w:val="Level3Char"/>
    <w:qFormat/>
    <w:rsid w:val="00AE1609"/>
    <w:pPr>
      <w:numPr>
        <w:ilvl w:val="2"/>
        <w:numId w:val="52"/>
      </w:numPr>
    </w:pPr>
    <w:rPr>
      <w:rFonts w:eastAsia="Arial" w:cs="Arial"/>
    </w:rPr>
  </w:style>
  <w:style w:type="paragraph" w:customStyle="1" w:styleId="Level4">
    <w:name w:val="Level 4"/>
    <w:basedOn w:val="Body"/>
    <w:qFormat/>
    <w:rsid w:val="00AE1609"/>
    <w:pPr>
      <w:numPr>
        <w:ilvl w:val="3"/>
        <w:numId w:val="52"/>
      </w:numPr>
    </w:pPr>
    <w:rPr>
      <w:rFonts w:eastAsia="Arial" w:cs="Arial"/>
    </w:rPr>
  </w:style>
  <w:style w:type="paragraph" w:customStyle="1" w:styleId="Level5">
    <w:name w:val="Level 5"/>
    <w:basedOn w:val="Body"/>
    <w:qFormat/>
    <w:rsid w:val="00AE1609"/>
    <w:pPr>
      <w:numPr>
        <w:ilvl w:val="4"/>
        <w:numId w:val="52"/>
      </w:numPr>
    </w:pPr>
    <w:rPr>
      <w:rFonts w:eastAsia="Arial" w:cs="Arial"/>
    </w:rPr>
  </w:style>
  <w:style w:type="paragraph" w:customStyle="1" w:styleId="Level6">
    <w:name w:val="Level 6"/>
    <w:basedOn w:val="Body"/>
    <w:qFormat/>
    <w:rsid w:val="00AE1609"/>
    <w:pPr>
      <w:numPr>
        <w:ilvl w:val="5"/>
        <w:numId w:val="52"/>
      </w:numPr>
    </w:pPr>
    <w:rPr>
      <w:rFonts w:eastAsia="Arial" w:cs="Arial"/>
    </w:rPr>
  </w:style>
  <w:style w:type="paragraph" w:customStyle="1" w:styleId="Part">
    <w:name w:val="Part"/>
    <w:basedOn w:val="Body"/>
    <w:next w:val="SubHeading"/>
    <w:rsid w:val="00AE1609"/>
    <w:pPr>
      <w:keepNext/>
      <w:numPr>
        <w:ilvl w:val="2"/>
        <w:numId w:val="1"/>
      </w:numPr>
      <w:tabs>
        <w:tab w:val="clear" w:pos="0"/>
      </w:tabs>
      <w:jc w:val="center"/>
    </w:pPr>
    <w:rPr>
      <w:u w:val="single"/>
    </w:rPr>
  </w:style>
  <w:style w:type="character" w:styleId="PlaceholderText">
    <w:name w:val="Placeholder Text"/>
    <w:basedOn w:val="DefaultParagraphFont"/>
    <w:uiPriority w:val="99"/>
    <w:semiHidden/>
    <w:rsid w:val="00AE1609"/>
    <w:rPr>
      <w:color w:val="808080"/>
    </w:rPr>
  </w:style>
  <w:style w:type="paragraph" w:customStyle="1" w:styleId="Schedule">
    <w:name w:val="Schedule"/>
    <w:basedOn w:val="Body"/>
    <w:next w:val="Body"/>
    <w:rsid w:val="00AE1609"/>
    <w:pPr>
      <w:keepNext/>
      <w:pageBreakBefore/>
      <w:numPr>
        <w:numId w:val="8"/>
      </w:numPr>
      <w:jc w:val="center"/>
      <w:outlineLvl w:val="0"/>
    </w:pPr>
    <w:rPr>
      <w:rFonts w:asciiTheme="minorHAnsi" w:hAnsiTheme="minorHAnsi"/>
      <w:b/>
    </w:rPr>
  </w:style>
  <w:style w:type="paragraph" w:customStyle="1" w:styleId="SubHeading">
    <w:name w:val="Sub Heading"/>
    <w:basedOn w:val="Body"/>
    <w:next w:val="Body"/>
    <w:rsid w:val="00AE1609"/>
    <w:pPr>
      <w:keepNext/>
      <w:jc w:val="center"/>
    </w:pPr>
    <w:rPr>
      <w:u w:val="single"/>
    </w:rPr>
  </w:style>
  <w:style w:type="table" w:styleId="TableGrid">
    <w:name w:val="Table Grid"/>
    <w:basedOn w:val="TableNormal"/>
    <w:uiPriority w:val="39"/>
    <w:rsid w:val="00AE1609"/>
    <w:pPr>
      <w:spacing w:after="0" w:line="240" w:lineRule="auto"/>
      <w:jc w:val="both"/>
    </w:pPr>
    <w:rPr>
      <w:rFonts w:ascii="Arial" w:eastAsia="Batang"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E1609"/>
    <w:pPr>
      <w:tabs>
        <w:tab w:val="right" w:leader="dot" w:pos="8500"/>
      </w:tabs>
      <w:spacing w:before="240" w:line="360" w:lineRule="auto"/>
      <w:ind w:left="720" w:right="284" w:hanging="720"/>
    </w:pPr>
    <w:rPr>
      <w:caps/>
    </w:rPr>
  </w:style>
  <w:style w:type="paragraph" w:styleId="TOC2">
    <w:name w:val="toc 2"/>
    <w:basedOn w:val="TOC1"/>
    <w:next w:val="Normal"/>
    <w:uiPriority w:val="39"/>
    <w:rsid w:val="00AE1609"/>
    <w:pPr>
      <w:spacing w:before="0"/>
      <w:ind w:left="1440" w:right="289"/>
    </w:pPr>
    <w:rPr>
      <w:caps w:val="0"/>
    </w:rPr>
  </w:style>
  <w:style w:type="paragraph" w:styleId="TOC3">
    <w:name w:val="toc 3"/>
    <w:basedOn w:val="TOC2"/>
    <w:next w:val="Normal"/>
    <w:uiPriority w:val="39"/>
    <w:rsid w:val="00AE1609"/>
    <w:pPr>
      <w:ind w:left="1174" w:hanging="454"/>
    </w:pPr>
  </w:style>
  <w:style w:type="paragraph" w:styleId="TOC4">
    <w:name w:val="toc 4"/>
    <w:basedOn w:val="TOC1"/>
    <w:next w:val="Normal"/>
    <w:semiHidden/>
    <w:rsid w:val="00AE1609"/>
    <w:pPr>
      <w:ind w:left="0" w:right="288" w:firstLine="0"/>
    </w:pPr>
    <w:rPr>
      <w:caps w:val="0"/>
    </w:rPr>
  </w:style>
  <w:style w:type="paragraph" w:styleId="TOC5">
    <w:name w:val="toc 5"/>
    <w:basedOn w:val="TOC1"/>
    <w:next w:val="Normal"/>
    <w:semiHidden/>
    <w:rsid w:val="00AE1609"/>
    <w:pPr>
      <w:spacing w:before="0"/>
      <w:ind w:right="288" w:firstLine="0"/>
    </w:pPr>
    <w:rPr>
      <w:caps w:val="0"/>
    </w:rPr>
  </w:style>
  <w:style w:type="paragraph" w:styleId="TOC6">
    <w:name w:val="toc 6"/>
    <w:basedOn w:val="Normal"/>
    <w:next w:val="Normal"/>
    <w:autoRedefine/>
    <w:uiPriority w:val="39"/>
    <w:semiHidden/>
    <w:rsid w:val="00AE1609"/>
    <w:pPr>
      <w:ind w:left="1000"/>
    </w:pPr>
  </w:style>
  <w:style w:type="paragraph" w:customStyle="1" w:styleId="TO-FirstPageHeader">
    <w:name w:val="TO-FirstPageHeader"/>
    <w:basedOn w:val="Normal"/>
    <w:qFormat/>
    <w:rsid w:val="00CD40F6"/>
    <w:pPr>
      <w:spacing w:before="3000"/>
      <w:ind w:right="7654"/>
      <w:jc w:val="right"/>
    </w:pPr>
    <w:rPr>
      <w:rFonts w:eastAsiaTheme="minorHAnsi" w:cstheme="minorBidi"/>
      <w:b/>
      <w:noProof/>
      <w:color w:val="000000" w:themeColor="text2"/>
      <w:sz w:val="56"/>
      <w:szCs w:val="56"/>
      <w14:textFill>
        <w14:solidFill>
          <w14:schemeClr w14:val="tx2">
            <w14:alpha w14:val="70000"/>
          </w14:schemeClr>
        </w14:solidFill>
      </w14:textFill>
    </w:rPr>
  </w:style>
  <w:style w:type="paragraph" w:customStyle="1" w:styleId="CoverHeader">
    <w:name w:val="CoverHeader"/>
    <w:basedOn w:val="Normal"/>
    <w:qFormat/>
    <w:rsid w:val="008A7570"/>
    <w:pPr>
      <w:spacing w:before="240" w:after="240"/>
      <w:ind w:right="567"/>
      <w:jc w:val="right"/>
    </w:pPr>
  </w:style>
  <w:style w:type="paragraph" w:customStyle="1" w:styleId="OfficeURL">
    <w:name w:val="Office URL"/>
    <w:basedOn w:val="Normal"/>
    <w:qFormat/>
    <w:rsid w:val="002C501A"/>
    <w:pPr>
      <w:pageBreakBefore/>
      <w:spacing w:after="60"/>
    </w:pPr>
    <w:rPr>
      <w:color w:val="DF1995"/>
      <w:sz w:val="24"/>
      <w:szCs w:val="24"/>
    </w:rPr>
  </w:style>
  <w:style w:type="paragraph" w:customStyle="1" w:styleId="OfficeAddress">
    <w:name w:val="Office Address"/>
    <w:basedOn w:val="Normal"/>
    <w:qFormat/>
    <w:rsid w:val="002C501A"/>
    <w:rPr>
      <w:rFonts w:cs="Arial"/>
      <w:color w:val="000000"/>
      <w:szCs w:val="18"/>
    </w:rPr>
  </w:style>
  <w:style w:type="paragraph" w:customStyle="1" w:styleId="Disclaimer">
    <w:name w:val="Disclaimer"/>
    <w:basedOn w:val="Normal"/>
    <w:qFormat/>
    <w:rsid w:val="005F3E1A"/>
    <w:pPr>
      <w:tabs>
        <w:tab w:val="left" w:pos="7655"/>
      </w:tabs>
    </w:pPr>
    <w:rPr>
      <w:sz w:val="14"/>
      <w:szCs w:val="11"/>
    </w:rPr>
  </w:style>
  <w:style w:type="character" w:customStyle="1" w:styleId="Heading1Char">
    <w:name w:val="Heading 1 Char"/>
    <w:basedOn w:val="DefaultParagraphFont"/>
    <w:link w:val="Heading1"/>
    <w:uiPriority w:val="9"/>
    <w:rsid w:val="00AE1609"/>
    <w:rPr>
      <w:rFonts w:asciiTheme="majorHAnsi" w:eastAsiaTheme="majorEastAsia" w:hAnsiTheme="majorHAnsi" w:cstheme="majorBidi"/>
      <w:color w:val="C90F1C" w:themeColor="accent1" w:themeShade="BF"/>
      <w:sz w:val="32"/>
      <w:szCs w:val="32"/>
      <w:lang w:val="en-GB" w:eastAsia="en-GB"/>
    </w:rPr>
  </w:style>
  <w:style w:type="character" w:customStyle="1" w:styleId="Heading2Char">
    <w:name w:val="Heading 2 Char"/>
    <w:basedOn w:val="DefaultParagraphFont"/>
    <w:link w:val="Heading2"/>
    <w:uiPriority w:val="9"/>
    <w:semiHidden/>
    <w:rsid w:val="00AE1609"/>
    <w:rPr>
      <w:rFonts w:asciiTheme="majorHAnsi" w:eastAsiaTheme="majorEastAsia" w:hAnsiTheme="majorHAnsi" w:cstheme="majorBidi"/>
      <w:color w:val="C90F1C" w:themeColor="accent1" w:themeShade="BF"/>
      <w:sz w:val="26"/>
      <w:szCs w:val="26"/>
      <w:lang w:val="en-GB" w:eastAsia="en-GB"/>
    </w:rPr>
  </w:style>
  <w:style w:type="character" w:customStyle="1" w:styleId="Heading3Char">
    <w:name w:val="Heading 3 Char"/>
    <w:basedOn w:val="DefaultParagraphFont"/>
    <w:link w:val="Heading3"/>
    <w:uiPriority w:val="9"/>
    <w:semiHidden/>
    <w:rsid w:val="00AE1609"/>
    <w:rPr>
      <w:rFonts w:asciiTheme="majorHAnsi" w:eastAsiaTheme="majorEastAsia" w:hAnsiTheme="majorHAnsi" w:cstheme="majorBidi"/>
      <w:color w:val="850A12" w:themeColor="accent1" w:themeShade="7F"/>
      <w:sz w:val="24"/>
      <w:szCs w:val="24"/>
      <w:lang w:val="en-GB" w:eastAsia="en-GB"/>
    </w:rPr>
  </w:style>
  <w:style w:type="paragraph" w:customStyle="1" w:styleId="Appendix">
    <w:name w:val="Appendix"/>
    <w:basedOn w:val="Body"/>
    <w:next w:val="Body"/>
    <w:rsid w:val="00AE1609"/>
    <w:pPr>
      <w:keepNext/>
      <w:pageBreakBefore/>
      <w:numPr>
        <w:numId w:val="9"/>
      </w:numPr>
      <w:jc w:val="center"/>
      <w:outlineLvl w:val="0"/>
    </w:pPr>
    <w:rPr>
      <w:rFonts w:asciiTheme="minorHAnsi" w:hAnsiTheme="minorHAnsi"/>
      <w:b/>
    </w:rPr>
  </w:style>
  <w:style w:type="numbering" w:customStyle="1" w:styleId="BSMainNumbering">
    <w:name w:val="BS Main Numbering"/>
    <w:uiPriority w:val="99"/>
    <w:rsid w:val="00AE1609"/>
    <w:pPr>
      <w:numPr>
        <w:numId w:val="2"/>
      </w:numPr>
    </w:pPr>
  </w:style>
  <w:style w:type="paragraph" w:customStyle="1" w:styleId="Level1Heading">
    <w:name w:val="Level 1 Heading"/>
    <w:basedOn w:val="Body"/>
    <w:next w:val="Level2"/>
    <w:uiPriority w:val="4"/>
    <w:qFormat/>
    <w:rsid w:val="00AE1609"/>
    <w:pPr>
      <w:keepNext/>
      <w:numPr>
        <w:numId w:val="52"/>
      </w:numPr>
      <w:outlineLvl w:val="0"/>
    </w:pPr>
    <w:rPr>
      <w:rFonts w:eastAsia="Arial" w:cs="Arial"/>
      <w:b/>
      <w:caps/>
    </w:rPr>
  </w:style>
  <w:style w:type="numbering" w:customStyle="1" w:styleId="BSScheduleNumbering">
    <w:name w:val="BS Schedule Numbering"/>
    <w:uiPriority w:val="99"/>
    <w:rsid w:val="00AE1609"/>
    <w:pPr>
      <w:numPr>
        <w:numId w:val="14"/>
      </w:numPr>
    </w:pPr>
  </w:style>
  <w:style w:type="paragraph" w:customStyle="1" w:styleId="LLPWarning">
    <w:name w:val="LLP Warning"/>
    <w:basedOn w:val="Normal"/>
    <w:rsid w:val="00AE1609"/>
    <w:rPr>
      <w:rFonts w:eastAsia="Times New Roman"/>
      <w:b/>
      <w:color w:val="FF0000"/>
      <w:szCs w:val="22"/>
    </w:rPr>
  </w:style>
  <w:style w:type="paragraph" w:customStyle="1" w:styleId="PreparedBy">
    <w:name w:val="PreparedBy"/>
    <w:basedOn w:val="Normal"/>
    <w:rsid w:val="00AE1609"/>
    <w:rPr>
      <w:sz w:val="16"/>
    </w:rPr>
  </w:style>
  <w:style w:type="paragraph" w:styleId="BalloonText">
    <w:name w:val="Balloon Text"/>
    <w:basedOn w:val="Normal"/>
    <w:link w:val="BalloonTextChar"/>
    <w:uiPriority w:val="99"/>
    <w:semiHidden/>
    <w:unhideWhenUsed/>
    <w:rsid w:val="00AE1609"/>
    <w:rPr>
      <w:rFonts w:ascii="Tahoma" w:hAnsi="Tahoma" w:cs="Tahoma"/>
      <w:sz w:val="16"/>
      <w:szCs w:val="16"/>
    </w:rPr>
  </w:style>
  <w:style w:type="character" w:customStyle="1" w:styleId="BalloonTextChar">
    <w:name w:val="Balloon Text Char"/>
    <w:basedOn w:val="DefaultParagraphFont"/>
    <w:link w:val="BalloonText"/>
    <w:uiPriority w:val="99"/>
    <w:semiHidden/>
    <w:rsid w:val="00AE1609"/>
    <w:rPr>
      <w:rFonts w:ascii="Tahoma" w:eastAsia="Batang" w:hAnsi="Tahoma" w:cs="Tahoma"/>
      <w:sz w:val="16"/>
      <w:szCs w:val="16"/>
      <w:lang w:val="en-GB" w:eastAsia="en-GB"/>
    </w:rPr>
  </w:style>
  <w:style w:type="paragraph" w:customStyle="1" w:styleId="TOB-Body">
    <w:name w:val="TOB-Body"/>
    <w:basedOn w:val="Body"/>
    <w:qFormat/>
    <w:rsid w:val="00AE1609"/>
    <w:pPr>
      <w:spacing w:after="220"/>
    </w:pPr>
  </w:style>
  <w:style w:type="paragraph" w:styleId="TOC7">
    <w:name w:val="toc 7"/>
    <w:basedOn w:val="Normal"/>
    <w:next w:val="Normal"/>
    <w:autoRedefine/>
    <w:uiPriority w:val="39"/>
    <w:semiHidden/>
    <w:unhideWhenUsed/>
    <w:rsid w:val="00AE1609"/>
    <w:pPr>
      <w:spacing w:after="100"/>
      <w:ind w:left="1200"/>
    </w:pPr>
  </w:style>
  <w:style w:type="paragraph" w:styleId="TOC8">
    <w:name w:val="toc 8"/>
    <w:basedOn w:val="Normal"/>
    <w:next w:val="Normal"/>
    <w:autoRedefine/>
    <w:uiPriority w:val="39"/>
    <w:semiHidden/>
    <w:unhideWhenUsed/>
    <w:rsid w:val="00AE1609"/>
    <w:pPr>
      <w:spacing w:after="100"/>
      <w:ind w:left="1400"/>
    </w:pPr>
  </w:style>
  <w:style w:type="paragraph" w:styleId="TOC9">
    <w:name w:val="toc 9"/>
    <w:basedOn w:val="Normal"/>
    <w:next w:val="Normal"/>
    <w:autoRedefine/>
    <w:uiPriority w:val="39"/>
    <w:semiHidden/>
    <w:unhideWhenUsed/>
    <w:rsid w:val="00AE1609"/>
    <w:pPr>
      <w:spacing w:after="100"/>
      <w:ind w:left="1600"/>
    </w:pPr>
  </w:style>
  <w:style w:type="paragraph" w:customStyle="1" w:styleId="SchedulePart">
    <w:name w:val="Schedule Part"/>
    <w:basedOn w:val="Body"/>
    <w:next w:val="Body"/>
    <w:uiPriority w:val="10"/>
    <w:rsid w:val="00AE1609"/>
    <w:pPr>
      <w:keepNext/>
      <w:numPr>
        <w:ilvl w:val="1"/>
        <w:numId w:val="8"/>
      </w:numPr>
      <w:jc w:val="center"/>
      <w:outlineLvl w:val="1"/>
    </w:pPr>
    <w:rPr>
      <w:rFonts w:asciiTheme="minorHAnsi" w:hAnsiTheme="minorHAnsi"/>
      <w:u w:val="single"/>
    </w:rPr>
  </w:style>
  <w:style w:type="paragraph" w:customStyle="1" w:styleId="Level2Heading">
    <w:name w:val="Level 2 Heading"/>
    <w:basedOn w:val="Level2"/>
    <w:next w:val="Level3"/>
    <w:uiPriority w:val="4"/>
    <w:qFormat/>
    <w:rsid w:val="00AE1609"/>
    <w:pPr>
      <w:keepNext/>
      <w:outlineLvl w:val="1"/>
    </w:pPr>
    <w:rPr>
      <w:b/>
    </w:rPr>
  </w:style>
  <w:style w:type="paragraph" w:customStyle="1" w:styleId="Level3Heading">
    <w:name w:val="Level 3 Heading"/>
    <w:basedOn w:val="Level3"/>
    <w:next w:val="Level4"/>
    <w:uiPriority w:val="4"/>
    <w:qFormat/>
    <w:rsid w:val="00AE1609"/>
    <w:pPr>
      <w:keepNext/>
      <w:outlineLvl w:val="2"/>
    </w:pPr>
    <w:rPr>
      <w:u w:val="single"/>
    </w:rPr>
  </w:style>
  <w:style w:type="paragraph" w:customStyle="1" w:styleId="Level4Heading">
    <w:name w:val="Level 4 Heading"/>
    <w:basedOn w:val="Level4"/>
    <w:next w:val="Level5"/>
    <w:uiPriority w:val="4"/>
    <w:qFormat/>
    <w:rsid w:val="00AE1609"/>
    <w:pPr>
      <w:keepNext/>
      <w:outlineLvl w:val="3"/>
    </w:pPr>
    <w:rPr>
      <w:u w:val="single"/>
    </w:rPr>
  </w:style>
  <w:style w:type="paragraph" w:customStyle="1" w:styleId="AppendixPart">
    <w:name w:val="Appendix Part"/>
    <w:basedOn w:val="Body"/>
    <w:next w:val="Body"/>
    <w:uiPriority w:val="19"/>
    <w:qFormat/>
    <w:rsid w:val="00AE1609"/>
    <w:pPr>
      <w:numPr>
        <w:ilvl w:val="1"/>
        <w:numId w:val="9"/>
      </w:numPr>
      <w:jc w:val="center"/>
      <w:outlineLvl w:val="1"/>
    </w:pPr>
    <w:rPr>
      <w:rFonts w:asciiTheme="minorHAnsi" w:hAnsiTheme="minorHAnsi"/>
      <w:u w:val="single"/>
    </w:rPr>
  </w:style>
  <w:style w:type="numbering" w:customStyle="1" w:styleId="BSAppendixList">
    <w:name w:val="BS Appendix List"/>
    <w:uiPriority w:val="99"/>
    <w:rsid w:val="00AB21D7"/>
    <w:pPr>
      <w:numPr>
        <w:numId w:val="3"/>
      </w:numPr>
    </w:pPr>
  </w:style>
  <w:style w:type="paragraph" w:customStyle="1" w:styleId="Schedule1Heading">
    <w:name w:val="Schedule 1 Heading"/>
    <w:basedOn w:val="Body"/>
    <w:next w:val="Schedule2Number"/>
    <w:uiPriority w:val="11"/>
    <w:qFormat/>
    <w:rsid w:val="00AE1609"/>
    <w:pPr>
      <w:keepNext/>
      <w:numPr>
        <w:ilvl w:val="2"/>
        <w:numId w:val="8"/>
      </w:numPr>
      <w:outlineLvl w:val="2"/>
    </w:pPr>
    <w:rPr>
      <w:rFonts w:eastAsia="Arial" w:cs="Arial"/>
      <w:b/>
      <w:caps/>
    </w:rPr>
  </w:style>
  <w:style w:type="paragraph" w:customStyle="1" w:styleId="Appendix1Heading">
    <w:name w:val="Appendix 1 Heading"/>
    <w:basedOn w:val="Schedule1Heading"/>
    <w:next w:val="Appendix2Number"/>
    <w:uiPriority w:val="20"/>
    <w:qFormat/>
    <w:rsid w:val="00AE1609"/>
    <w:pPr>
      <w:numPr>
        <w:numId w:val="9"/>
      </w:numPr>
    </w:pPr>
  </w:style>
  <w:style w:type="paragraph" w:customStyle="1" w:styleId="Appendix2Number">
    <w:name w:val="Appendix 2 Number"/>
    <w:basedOn w:val="Schedule2Number"/>
    <w:uiPriority w:val="20"/>
    <w:qFormat/>
    <w:rsid w:val="00AE1609"/>
    <w:pPr>
      <w:numPr>
        <w:numId w:val="9"/>
      </w:numPr>
    </w:pPr>
  </w:style>
  <w:style w:type="paragraph" w:customStyle="1" w:styleId="Schedule3Number">
    <w:name w:val="Schedule 3 Number"/>
    <w:basedOn w:val="Body3"/>
    <w:uiPriority w:val="11"/>
    <w:qFormat/>
    <w:rsid w:val="00AE1609"/>
    <w:pPr>
      <w:numPr>
        <w:ilvl w:val="4"/>
        <w:numId w:val="8"/>
      </w:numPr>
    </w:pPr>
    <w:rPr>
      <w:rFonts w:asciiTheme="minorHAnsi" w:hAnsiTheme="minorHAnsi"/>
    </w:rPr>
  </w:style>
  <w:style w:type="paragraph" w:customStyle="1" w:styleId="Appendix3Number">
    <w:name w:val="Appendix 3 Number"/>
    <w:basedOn w:val="Schedule3Number"/>
    <w:uiPriority w:val="20"/>
    <w:qFormat/>
    <w:rsid w:val="00AE1609"/>
    <w:pPr>
      <w:numPr>
        <w:numId w:val="9"/>
      </w:numPr>
    </w:pPr>
  </w:style>
  <w:style w:type="paragraph" w:customStyle="1" w:styleId="Schedule4Number">
    <w:name w:val="Schedule 4 Number"/>
    <w:basedOn w:val="Body"/>
    <w:uiPriority w:val="11"/>
    <w:qFormat/>
    <w:rsid w:val="00AE1609"/>
    <w:pPr>
      <w:numPr>
        <w:ilvl w:val="5"/>
        <w:numId w:val="8"/>
      </w:numPr>
    </w:pPr>
    <w:rPr>
      <w:rFonts w:eastAsia="Arial" w:cs="Arial"/>
    </w:rPr>
  </w:style>
  <w:style w:type="paragraph" w:customStyle="1" w:styleId="Appendix4Number">
    <w:name w:val="Appendix 4 Number"/>
    <w:basedOn w:val="Body"/>
    <w:uiPriority w:val="20"/>
    <w:qFormat/>
    <w:rsid w:val="00AE1609"/>
    <w:pPr>
      <w:numPr>
        <w:ilvl w:val="5"/>
        <w:numId w:val="9"/>
      </w:numPr>
    </w:pPr>
  </w:style>
  <w:style w:type="paragraph" w:customStyle="1" w:styleId="Schedule5Number">
    <w:name w:val="Schedule 5 Number"/>
    <w:basedOn w:val="Body"/>
    <w:uiPriority w:val="11"/>
    <w:qFormat/>
    <w:rsid w:val="00AE1609"/>
    <w:pPr>
      <w:numPr>
        <w:ilvl w:val="6"/>
        <w:numId w:val="8"/>
      </w:numPr>
    </w:pPr>
    <w:rPr>
      <w:rFonts w:eastAsia="Arial" w:cs="Arial"/>
    </w:rPr>
  </w:style>
  <w:style w:type="paragraph" w:customStyle="1" w:styleId="Appendix5Number">
    <w:name w:val="Appendix 5 Number"/>
    <w:basedOn w:val="Body"/>
    <w:uiPriority w:val="20"/>
    <w:qFormat/>
    <w:rsid w:val="00AE1609"/>
    <w:pPr>
      <w:numPr>
        <w:ilvl w:val="6"/>
        <w:numId w:val="9"/>
      </w:numPr>
    </w:pPr>
  </w:style>
  <w:style w:type="paragraph" w:customStyle="1" w:styleId="Schedule6Number">
    <w:name w:val="Schedule 6 Number"/>
    <w:basedOn w:val="Body"/>
    <w:uiPriority w:val="11"/>
    <w:qFormat/>
    <w:rsid w:val="00AE1609"/>
    <w:pPr>
      <w:numPr>
        <w:ilvl w:val="7"/>
        <w:numId w:val="8"/>
      </w:numPr>
    </w:pPr>
    <w:rPr>
      <w:rFonts w:eastAsia="Arial" w:cs="Arial"/>
    </w:rPr>
  </w:style>
  <w:style w:type="paragraph" w:customStyle="1" w:styleId="Appendix6Number">
    <w:name w:val="Appendix 6 Number"/>
    <w:basedOn w:val="Body"/>
    <w:uiPriority w:val="20"/>
    <w:qFormat/>
    <w:rsid w:val="00AE1609"/>
    <w:pPr>
      <w:numPr>
        <w:ilvl w:val="7"/>
        <w:numId w:val="9"/>
      </w:numPr>
    </w:pPr>
  </w:style>
  <w:style w:type="numbering" w:customStyle="1" w:styleId="BSBulletList">
    <w:name w:val="BS Bullet List"/>
    <w:uiPriority w:val="99"/>
    <w:rsid w:val="00AE1609"/>
    <w:pPr>
      <w:numPr>
        <w:numId w:val="4"/>
      </w:numPr>
    </w:pPr>
  </w:style>
  <w:style w:type="paragraph" w:customStyle="1" w:styleId="Schedule2Number">
    <w:name w:val="Schedule 2 Number"/>
    <w:basedOn w:val="Body"/>
    <w:uiPriority w:val="11"/>
    <w:qFormat/>
    <w:rsid w:val="00AE1609"/>
    <w:pPr>
      <w:numPr>
        <w:ilvl w:val="3"/>
        <w:numId w:val="8"/>
      </w:numPr>
    </w:pPr>
  </w:style>
  <w:style w:type="paragraph" w:styleId="NoSpacing">
    <w:name w:val="No Spacing"/>
    <w:uiPriority w:val="1"/>
    <w:qFormat/>
    <w:rsid w:val="00AE1609"/>
    <w:pPr>
      <w:adjustRightInd w:val="0"/>
      <w:spacing w:after="0" w:line="240" w:lineRule="auto"/>
    </w:pPr>
    <w:rPr>
      <w:rFonts w:ascii="Arial" w:eastAsia="Batang" w:hAnsi="Arial" w:cs="Times New Roman"/>
      <w:sz w:val="20"/>
      <w:szCs w:val="20"/>
      <w:lang w:val="en-GB" w:eastAsia="en-GB"/>
    </w:rPr>
  </w:style>
  <w:style w:type="paragraph" w:customStyle="1" w:styleId="Appendix1Number">
    <w:name w:val="Appendix 1 Number"/>
    <w:basedOn w:val="Appendix1Heading"/>
    <w:uiPriority w:val="20"/>
    <w:qFormat/>
    <w:rsid w:val="00AE1609"/>
    <w:pPr>
      <w:keepNext w:val="0"/>
      <w:outlineLvl w:val="9"/>
    </w:pPr>
    <w:rPr>
      <w:b w:val="0"/>
      <w:caps w:val="0"/>
    </w:rPr>
  </w:style>
  <w:style w:type="paragraph" w:customStyle="1" w:styleId="Appendix2Heading">
    <w:name w:val="Appendix 2 Heading"/>
    <w:basedOn w:val="Appendix2Number"/>
    <w:next w:val="Appendix3Number"/>
    <w:uiPriority w:val="20"/>
    <w:qFormat/>
    <w:rsid w:val="00AE1609"/>
    <w:pPr>
      <w:keepNext/>
      <w:outlineLvl w:val="3"/>
    </w:pPr>
    <w:rPr>
      <w:b/>
    </w:rPr>
  </w:style>
  <w:style w:type="paragraph" w:customStyle="1" w:styleId="Appendix3Heading">
    <w:name w:val="Appendix 3 Heading"/>
    <w:basedOn w:val="Appendix3Number"/>
    <w:next w:val="Appendix4Number"/>
    <w:uiPriority w:val="20"/>
    <w:qFormat/>
    <w:rsid w:val="00AE1609"/>
    <w:pPr>
      <w:keepNext/>
      <w:outlineLvl w:val="4"/>
    </w:pPr>
    <w:rPr>
      <w:u w:val="single"/>
    </w:rPr>
  </w:style>
  <w:style w:type="paragraph" w:customStyle="1" w:styleId="Schedule1Number">
    <w:name w:val="Schedule 1 Number"/>
    <w:basedOn w:val="Schedule1Heading"/>
    <w:uiPriority w:val="11"/>
    <w:qFormat/>
    <w:rsid w:val="00AE1609"/>
    <w:pPr>
      <w:keepNext w:val="0"/>
      <w:outlineLvl w:val="9"/>
    </w:pPr>
    <w:rPr>
      <w:b w:val="0"/>
      <w:caps w:val="0"/>
    </w:rPr>
  </w:style>
  <w:style w:type="paragraph" w:customStyle="1" w:styleId="Schedule2Heading">
    <w:name w:val="Schedule 2 Heading"/>
    <w:basedOn w:val="Schedule2Number"/>
    <w:next w:val="Schedule3Number"/>
    <w:uiPriority w:val="11"/>
    <w:qFormat/>
    <w:rsid w:val="00AE1609"/>
    <w:pPr>
      <w:outlineLvl w:val="3"/>
    </w:pPr>
    <w:rPr>
      <w:b/>
    </w:rPr>
  </w:style>
  <w:style w:type="paragraph" w:customStyle="1" w:styleId="Schedule3Heading">
    <w:name w:val="Schedule 3 Heading"/>
    <w:basedOn w:val="Schedule3Number"/>
    <w:next w:val="Schedule4Number"/>
    <w:uiPriority w:val="11"/>
    <w:qFormat/>
    <w:rsid w:val="00AE1609"/>
    <w:pPr>
      <w:keepNext/>
      <w:outlineLvl w:val="4"/>
    </w:pPr>
    <w:rPr>
      <w:u w:val="single"/>
    </w:rPr>
  </w:style>
  <w:style w:type="paragraph" w:customStyle="1" w:styleId="CoverParties">
    <w:name w:val="Cover Parties"/>
    <w:basedOn w:val="Normal"/>
    <w:uiPriority w:val="99"/>
    <w:qFormat/>
    <w:rsid w:val="00AE1609"/>
    <w:pPr>
      <w:tabs>
        <w:tab w:val="right" w:pos="6704"/>
      </w:tabs>
      <w:spacing w:before="240"/>
    </w:pPr>
  </w:style>
  <w:style w:type="paragraph" w:customStyle="1" w:styleId="CoverPartyType">
    <w:name w:val="Cover Party Type"/>
    <w:basedOn w:val="CoverParties"/>
    <w:uiPriority w:val="99"/>
    <w:qFormat/>
    <w:rsid w:val="00AE1609"/>
    <w:pPr>
      <w:spacing w:before="0" w:after="120"/>
    </w:pPr>
  </w:style>
  <w:style w:type="paragraph" w:customStyle="1" w:styleId="CoverPartyand">
    <w:name w:val="Cover Party and"/>
    <w:basedOn w:val="CoverParties"/>
    <w:uiPriority w:val="99"/>
    <w:qFormat/>
    <w:rsid w:val="00AE1609"/>
  </w:style>
  <w:style w:type="paragraph" w:customStyle="1" w:styleId="PSGLevel1Heading">
    <w:name w:val="PSG Level 1 Heading"/>
    <w:basedOn w:val="Body"/>
    <w:next w:val="PSGLevel2"/>
    <w:uiPriority w:val="5"/>
    <w:qFormat/>
    <w:rsid w:val="00AE1609"/>
    <w:pPr>
      <w:keepNext/>
      <w:numPr>
        <w:numId w:val="5"/>
      </w:numPr>
      <w:adjustRightInd/>
    </w:pPr>
    <w:rPr>
      <w:rFonts w:eastAsia="Times New Roman" w:cs="Arial"/>
      <w:b/>
      <w:bCs/>
      <w:lang w:eastAsia="en-US"/>
    </w:rPr>
  </w:style>
  <w:style w:type="paragraph" w:customStyle="1" w:styleId="PSGLevel2">
    <w:name w:val="PSG Level 2"/>
    <w:basedOn w:val="Body"/>
    <w:uiPriority w:val="5"/>
    <w:qFormat/>
    <w:rsid w:val="00AE1609"/>
    <w:pPr>
      <w:numPr>
        <w:ilvl w:val="1"/>
        <w:numId w:val="5"/>
      </w:numPr>
      <w:adjustRightInd/>
    </w:pPr>
    <w:rPr>
      <w:rFonts w:eastAsia="Times New Roman"/>
      <w:bCs/>
      <w:lang w:eastAsia="en-US"/>
    </w:rPr>
  </w:style>
  <w:style w:type="paragraph" w:customStyle="1" w:styleId="PSGLevel2Heading">
    <w:name w:val="PSG Level 2 Heading"/>
    <w:basedOn w:val="PSGLevel2"/>
    <w:next w:val="Body2"/>
    <w:uiPriority w:val="5"/>
    <w:rsid w:val="005B6CE5"/>
    <w:pPr>
      <w:keepNext/>
    </w:pPr>
    <w:rPr>
      <w:b/>
    </w:rPr>
  </w:style>
  <w:style w:type="paragraph" w:customStyle="1" w:styleId="PSGLevel3">
    <w:name w:val="PSG Level 3"/>
    <w:basedOn w:val="Body"/>
    <w:uiPriority w:val="5"/>
    <w:qFormat/>
    <w:rsid w:val="00AE1609"/>
    <w:pPr>
      <w:numPr>
        <w:ilvl w:val="2"/>
        <w:numId w:val="5"/>
      </w:numPr>
      <w:adjustRightInd/>
    </w:pPr>
    <w:rPr>
      <w:rFonts w:eastAsia="Times New Roman"/>
      <w:lang w:eastAsia="en-US"/>
    </w:rPr>
  </w:style>
  <w:style w:type="paragraph" w:customStyle="1" w:styleId="PSGLevel3Heading">
    <w:name w:val="PSG Level 3 Heading"/>
    <w:basedOn w:val="PSGLevel3"/>
    <w:next w:val="Body3"/>
    <w:uiPriority w:val="5"/>
    <w:rsid w:val="007B1451"/>
    <w:pPr>
      <w:keepNext/>
    </w:pPr>
    <w:rPr>
      <w:b/>
    </w:rPr>
  </w:style>
  <w:style w:type="paragraph" w:customStyle="1" w:styleId="PSGLevel4">
    <w:name w:val="PSG Level 4"/>
    <w:basedOn w:val="Body"/>
    <w:uiPriority w:val="5"/>
    <w:qFormat/>
    <w:rsid w:val="00AE1609"/>
    <w:pPr>
      <w:numPr>
        <w:ilvl w:val="3"/>
        <w:numId w:val="5"/>
      </w:numPr>
      <w:outlineLvl w:val="4"/>
    </w:pPr>
    <w:rPr>
      <w:rFonts w:eastAsiaTheme="minorHAnsi" w:cs="Segoe Script"/>
      <w:lang w:eastAsia="en-US"/>
    </w:rPr>
  </w:style>
  <w:style w:type="paragraph" w:customStyle="1" w:styleId="PSGLevel5">
    <w:name w:val="PSG Level 5"/>
    <w:basedOn w:val="Body"/>
    <w:uiPriority w:val="5"/>
    <w:qFormat/>
    <w:rsid w:val="00AE1609"/>
    <w:pPr>
      <w:numPr>
        <w:ilvl w:val="4"/>
        <w:numId w:val="5"/>
      </w:numPr>
      <w:outlineLvl w:val="5"/>
    </w:pPr>
    <w:rPr>
      <w:rFonts w:eastAsiaTheme="minorHAnsi" w:cs="Segoe Script"/>
      <w:lang w:eastAsia="en-US"/>
    </w:rPr>
  </w:style>
  <w:style w:type="paragraph" w:customStyle="1" w:styleId="PSGLevel6">
    <w:name w:val="PSG Level 6"/>
    <w:basedOn w:val="Body"/>
    <w:uiPriority w:val="5"/>
    <w:qFormat/>
    <w:rsid w:val="00AE1609"/>
    <w:pPr>
      <w:numPr>
        <w:ilvl w:val="5"/>
        <w:numId w:val="5"/>
      </w:numPr>
      <w:ind w:left="3600" w:hanging="720"/>
      <w:outlineLvl w:val="5"/>
    </w:pPr>
    <w:rPr>
      <w:rFonts w:eastAsiaTheme="minorHAnsi" w:cs="Segoe Script"/>
      <w:lang w:eastAsia="en-US"/>
    </w:rPr>
  </w:style>
  <w:style w:type="paragraph" w:customStyle="1" w:styleId="PSGSchedule">
    <w:name w:val="PSG Schedule"/>
    <w:basedOn w:val="Body"/>
    <w:next w:val="PSGPartofScheduleNumber"/>
    <w:uiPriority w:val="12"/>
    <w:qFormat/>
    <w:rsid w:val="00AE1609"/>
    <w:pPr>
      <w:keepNext/>
      <w:pageBreakBefore/>
      <w:numPr>
        <w:numId w:val="7"/>
      </w:numPr>
      <w:jc w:val="center"/>
      <w:outlineLvl w:val="0"/>
    </w:pPr>
    <w:rPr>
      <w:rFonts w:eastAsiaTheme="minorHAnsi" w:cs="Segoe Script"/>
      <w:b/>
      <w:lang w:eastAsia="en-US"/>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qFormat/>
    <w:rsid w:val="00AE1609"/>
    <w:pPr>
      <w:ind w:left="720"/>
      <w:contextualSpacing/>
    </w:pPr>
  </w:style>
  <w:style w:type="paragraph" w:customStyle="1" w:styleId="PSGScheduleLevel1Heading">
    <w:name w:val="PSG Schedule Level 1 Heading"/>
    <w:basedOn w:val="Body"/>
    <w:next w:val="PSGScheduleLevel2"/>
    <w:uiPriority w:val="13"/>
    <w:qFormat/>
    <w:rsid w:val="00AE1609"/>
    <w:pPr>
      <w:keepNext/>
      <w:keepLines/>
      <w:numPr>
        <w:ilvl w:val="2"/>
        <w:numId w:val="7"/>
      </w:numPr>
      <w:outlineLvl w:val="3"/>
    </w:pPr>
    <w:rPr>
      <w:rFonts w:eastAsiaTheme="minorHAnsi" w:cs="Segoe Script"/>
      <w:b/>
      <w:lang w:eastAsia="en-US"/>
    </w:rPr>
  </w:style>
  <w:style w:type="paragraph" w:customStyle="1" w:styleId="PSGScheduleLevel2">
    <w:name w:val="PSG Schedule Level 2"/>
    <w:basedOn w:val="Body"/>
    <w:uiPriority w:val="13"/>
    <w:qFormat/>
    <w:rsid w:val="00AE1609"/>
    <w:pPr>
      <w:numPr>
        <w:ilvl w:val="3"/>
        <w:numId w:val="7"/>
      </w:numPr>
      <w:outlineLvl w:val="4"/>
    </w:pPr>
    <w:rPr>
      <w:rFonts w:eastAsiaTheme="minorHAnsi" w:cs="Segoe Script"/>
      <w:lang w:eastAsia="en-US"/>
    </w:rPr>
  </w:style>
  <w:style w:type="paragraph" w:customStyle="1" w:styleId="PSGScheduleLevel3">
    <w:name w:val="PSG Schedule Level 3"/>
    <w:basedOn w:val="Body"/>
    <w:uiPriority w:val="13"/>
    <w:qFormat/>
    <w:rsid w:val="00AE1609"/>
    <w:pPr>
      <w:numPr>
        <w:ilvl w:val="4"/>
        <w:numId w:val="7"/>
      </w:numPr>
      <w:outlineLvl w:val="5"/>
    </w:pPr>
    <w:rPr>
      <w:rFonts w:eastAsiaTheme="minorHAnsi" w:cs="Segoe Script"/>
      <w:lang w:eastAsia="en-US"/>
    </w:rPr>
  </w:style>
  <w:style w:type="paragraph" w:customStyle="1" w:styleId="PSGScheduleLevel4">
    <w:name w:val="PSG Schedule Level 4"/>
    <w:basedOn w:val="Body"/>
    <w:uiPriority w:val="13"/>
    <w:qFormat/>
    <w:rsid w:val="00AE1609"/>
    <w:pPr>
      <w:numPr>
        <w:ilvl w:val="5"/>
        <w:numId w:val="7"/>
      </w:numPr>
      <w:outlineLvl w:val="6"/>
    </w:pPr>
    <w:rPr>
      <w:rFonts w:eastAsiaTheme="minorHAnsi" w:cs="Segoe Script"/>
      <w:lang w:eastAsia="en-US"/>
    </w:rPr>
  </w:style>
  <w:style w:type="paragraph" w:customStyle="1" w:styleId="PSGScheduleLevel5">
    <w:name w:val="PSG Schedule Level 5"/>
    <w:basedOn w:val="Body"/>
    <w:uiPriority w:val="13"/>
    <w:qFormat/>
    <w:rsid w:val="00AE1609"/>
    <w:pPr>
      <w:numPr>
        <w:ilvl w:val="6"/>
        <w:numId w:val="7"/>
      </w:numPr>
      <w:outlineLvl w:val="7"/>
    </w:pPr>
    <w:rPr>
      <w:rFonts w:eastAsiaTheme="minorHAnsi" w:cs="Segoe Script"/>
      <w:lang w:eastAsia="en-US"/>
    </w:rPr>
  </w:style>
  <w:style w:type="paragraph" w:customStyle="1" w:styleId="PSGScheduleLevel6">
    <w:name w:val="PSG Schedule Level 6"/>
    <w:basedOn w:val="Body"/>
    <w:uiPriority w:val="13"/>
    <w:qFormat/>
    <w:rsid w:val="00AE1609"/>
    <w:pPr>
      <w:numPr>
        <w:ilvl w:val="7"/>
        <w:numId w:val="7"/>
      </w:numPr>
      <w:ind w:left="3600" w:hanging="720"/>
      <w:outlineLvl w:val="8"/>
    </w:pPr>
    <w:rPr>
      <w:rFonts w:eastAsiaTheme="minorHAnsi" w:cs="Segoe Script"/>
      <w:lang w:eastAsia="en-US"/>
    </w:rPr>
  </w:style>
  <w:style w:type="paragraph" w:customStyle="1" w:styleId="PSGPartofScheduleNumber">
    <w:name w:val="PSG Part of Schedule (Number)"/>
    <w:basedOn w:val="Body"/>
    <w:next w:val="PSGScheduleLevel1Heading"/>
    <w:uiPriority w:val="13"/>
    <w:qFormat/>
    <w:rsid w:val="00AE1609"/>
    <w:pPr>
      <w:keepNext/>
      <w:numPr>
        <w:ilvl w:val="1"/>
        <w:numId w:val="7"/>
      </w:numPr>
      <w:spacing w:before="240" w:after="120" w:line="0" w:lineRule="atLeast"/>
      <w:jc w:val="center"/>
      <w:outlineLvl w:val="1"/>
    </w:pPr>
    <w:rPr>
      <w:rFonts w:eastAsiaTheme="minorHAnsi" w:cs="Segoe Script"/>
      <w:b/>
      <w:lang w:eastAsia="en-US"/>
    </w:rPr>
  </w:style>
  <w:style w:type="numbering" w:customStyle="1" w:styleId="PSGScheduleNumbering">
    <w:name w:val="PSG Schedule Numbering"/>
    <w:uiPriority w:val="99"/>
    <w:rsid w:val="00AE1609"/>
    <w:pPr>
      <w:numPr>
        <w:numId w:val="13"/>
      </w:numPr>
    </w:pPr>
  </w:style>
  <w:style w:type="numbering" w:customStyle="1" w:styleId="PSGNumbering">
    <w:name w:val="PSG Numbering"/>
    <w:uiPriority w:val="99"/>
    <w:rsid w:val="00AE1609"/>
    <w:pPr>
      <w:numPr>
        <w:numId w:val="12"/>
      </w:numPr>
    </w:pPr>
  </w:style>
  <w:style w:type="numbering" w:customStyle="1" w:styleId="BSAppendixNumbering">
    <w:name w:val="BS Appendix Numbering"/>
    <w:uiPriority w:val="99"/>
    <w:rsid w:val="00AE1609"/>
    <w:pPr>
      <w:numPr>
        <w:numId w:val="11"/>
      </w:numPr>
    </w:pPr>
  </w:style>
  <w:style w:type="paragraph" w:customStyle="1" w:styleId="DraftLine">
    <w:name w:val="DraftLine"/>
    <w:basedOn w:val="Header"/>
    <w:uiPriority w:val="99"/>
    <w:qFormat/>
    <w:rsid w:val="00AE1609"/>
    <w:pPr>
      <w:pBdr>
        <w:bottom w:val="single" w:sz="4" w:space="1" w:color="auto"/>
      </w:pBdr>
      <w:tabs>
        <w:tab w:val="left" w:pos="8148"/>
      </w:tabs>
      <w:jc w:val="right"/>
    </w:pPr>
  </w:style>
  <w:style w:type="paragraph" w:customStyle="1" w:styleId="Dated">
    <w:name w:val="Dated"/>
    <w:basedOn w:val="Normal"/>
    <w:uiPriority w:val="99"/>
    <w:qFormat/>
    <w:rsid w:val="00AE1609"/>
    <w:pPr>
      <w:tabs>
        <w:tab w:val="right" w:pos="6667"/>
      </w:tabs>
    </w:pPr>
    <w:rPr>
      <w:sz w:val="26"/>
      <w:szCs w:val="26"/>
    </w:rPr>
  </w:style>
  <w:style w:type="paragraph" w:customStyle="1" w:styleId="DraftNoLine">
    <w:name w:val="DraftNoLine"/>
    <w:basedOn w:val="DraftLine"/>
    <w:uiPriority w:val="99"/>
    <w:qFormat/>
    <w:rsid w:val="00AE1609"/>
    <w:pPr>
      <w:pBdr>
        <w:bottom w:val="none" w:sz="0" w:space="0" w:color="auto"/>
      </w:pBdr>
    </w:pPr>
  </w:style>
  <w:style w:type="paragraph" w:customStyle="1" w:styleId="Ad-hocLevel1">
    <w:name w:val="Ad-hoc Level 1"/>
    <w:basedOn w:val="Body"/>
    <w:uiPriority w:val="99"/>
    <w:qFormat/>
    <w:rsid w:val="00AE1609"/>
    <w:pPr>
      <w:numPr>
        <w:numId w:val="10"/>
      </w:numPr>
    </w:pPr>
  </w:style>
  <w:style w:type="paragraph" w:customStyle="1" w:styleId="Ad-hoclevel2">
    <w:name w:val="Ad-hoc level 2"/>
    <w:basedOn w:val="Body"/>
    <w:uiPriority w:val="99"/>
    <w:qFormat/>
    <w:rsid w:val="00AE1609"/>
    <w:pPr>
      <w:numPr>
        <w:ilvl w:val="1"/>
        <w:numId w:val="10"/>
      </w:numPr>
    </w:pPr>
  </w:style>
  <w:style w:type="paragraph" w:customStyle="1" w:styleId="Ad-hoclevel3">
    <w:name w:val="Ad-hoc level 3"/>
    <w:basedOn w:val="Body"/>
    <w:uiPriority w:val="99"/>
    <w:qFormat/>
    <w:rsid w:val="00AE1609"/>
    <w:pPr>
      <w:numPr>
        <w:ilvl w:val="2"/>
        <w:numId w:val="10"/>
      </w:numPr>
    </w:pPr>
  </w:style>
  <w:style w:type="paragraph" w:customStyle="1" w:styleId="Ad-hoclevel4">
    <w:name w:val="Ad-hoc level 4"/>
    <w:basedOn w:val="Body"/>
    <w:uiPriority w:val="99"/>
    <w:qFormat/>
    <w:rsid w:val="00AE1609"/>
    <w:pPr>
      <w:numPr>
        <w:ilvl w:val="3"/>
        <w:numId w:val="10"/>
      </w:numPr>
    </w:pPr>
  </w:style>
  <w:style w:type="paragraph" w:customStyle="1" w:styleId="Ad-hoclevel5">
    <w:name w:val="Ad-hoc level 5"/>
    <w:basedOn w:val="Body"/>
    <w:uiPriority w:val="99"/>
    <w:qFormat/>
    <w:rsid w:val="00AE1609"/>
    <w:pPr>
      <w:numPr>
        <w:ilvl w:val="4"/>
        <w:numId w:val="10"/>
      </w:numPr>
    </w:pPr>
  </w:style>
  <w:style w:type="numbering" w:customStyle="1" w:styleId="Ad-HocNumbering">
    <w:name w:val="Ad-Hoc Numbering"/>
    <w:uiPriority w:val="99"/>
    <w:rsid w:val="00AE1609"/>
    <w:pPr>
      <w:numPr>
        <w:numId w:val="15"/>
      </w:numPr>
    </w:pPr>
  </w:style>
  <w:style w:type="numbering" w:customStyle="1" w:styleId="NoList1">
    <w:name w:val="No List1"/>
    <w:next w:val="NoList"/>
    <w:uiPriority w:val="99"/>
    <w:semiHidden/>
    <w:unhideWhenUsed/>
    <w:rsid w:val="00E5488A"/>
  </w:style>
  <w:style w:type="paragraph" w:customStyle="1" w:styleId="msonormal0">
    <w:name w:val="msonormal"/>
    <w:basedOn w:val="Normal"/>
    <w:rsid w:val="00E5488A"/>
    <w:pPr>
      <w:adjustRightInd/>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E5488A"/>
    <w:pPr>
      <w:jc w:val="both"/>
    </w:pPr>
    <w:rPr>
      <w:rFonts w:eastAsia="Arial" w:cs="Arial"/>
    </w:rPr>
  </w:style>
  <w:style w:type="character" w:customStyle="1" w:styleId="CommentTextChar">
    <w:name w:val="Comment Text Char"/>
    <w:basedOn w:val="DefaultParagraphFont"/>
    <w:link w:val="CommentText"/>
    <w:uiPriority w:val="99"/>
    <w:rsid w:val="00E5488A"/>
    <w:rPr>
      <w:rFonts w:ascii="Arial" w:eastAsia="Arial"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E5488A"/>
    <w:rPr>
      <w:b/>
      <w:bCs/>
    </w:rPr>
  </w:style>
  <w:style w:type="character" w:customStyle="1" w:styleId="CommentSubjectChar">
    <w:name w:val="Comment Subject Char"/>
    <w:basedOn w:val="CommentTextChar"/>
    <w:link w:val="CommentSubject"/>
    <w:uiPriority w:val="99"/>
    <w:semiHidden/>
    <w:rsid w:val="00E5488A"/>
    <w:rPr>
      <w:rFonts w:ascii="Arial" w:eastAsia="Arial" w:hAnsi="Arial" w:cs="Arial"/>
      <w:b/>
      <w:bCs/>
      <w:sz w:val="20"/>
      <w:szCs w:val="20"/>
      <w:lang w:val="en-GB" w:eastAsia="en-GB"/>
    </w:rPr>
  </w:style>
  <w:style w:type="character" w:customStyle="1" w:styleId="Level3Char">
    <w:name w:val="Level 3 Char"/>
    <w:link w:val="Level3"/>
    <w:locked/>
    <w:rsid w:val="00E5488A"/>
    <w:rPr>
      <w:rFonts w:ascii="Arial" w:eastAsia="Arial" w:hAnsi="Arial" w:cs="Arial"/>
      <w:sz w:val="20"/>
      <w:szCs w:val="20"/>
      <w:lang w:val="en-GB" w:eastAsia="en-GB"/>
    </w:rPr>
  </w:style>
  <w:style w:type="paragraph" w:customStyle="1" w:styleId="Normal1">
    <w:name w:val="Normal1"/>
    <w:rsid w:val="00E5488A"/>
    <w:pPr>
      <w:spacing w:after="0"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E5488A"/>
    <w:rPr>
      <w:sz w:val="16"/>
      <w:szCs w:val="16"/>
    </w:rPr>
  </w:style>
  <w:style w:type="character" w:customStyle="1" w:styleId="Level1asHeadingtext">
    <w:name w:val="Level 1 as Heading (text)"/>
    <w:basedOn w:val="DefaultParagraphFont"/>
    <w:uiPriority w:val="99"/>
    <w:rsid w:val="00E5488A"/>
    <w:rPr>
      <w:rFonts w:ascii="Arial" w:hAnsi="Arial" w:cs="Arial" w:hint="default"/>
      <w:b/>
      <w:bCs w:val="0"/>
      <w:caps/>
    </w:rPr>
  </w:style>
  <w:style w:type="character" w:customStyle="1" w:styleId="Level2asHeadingtext">
    <w:name w:val="Level 2 as Heading (text)"/>
    <w:basedOn w:val="DefaultParagraphFont"/>
    <w:rsid w:val="00E5488A"/>
    <w:rPr>
      <w:rFonts w:ascii="Arial" w:hAnsi="Arial" w:cs="Arial" w:hint="default"/>
      <w:b/>
      <w:bCs w:val="0"/>
    </w:rPr>
  </w:style>
  <w:style w:type="character" w:customStyle="1" w:styleId="Level3asHeadingtext">
    <w:name w:val="Level 3 as Heading (text)"/>
    <w:basedOn w:val="DefaultParagraphFont"/>
    <w:rsid w:val="00E5488A"/>
    <w:rPr>
      <w:rFonts w:ascii="Arial" w:hAnsi="Arial" w:cs="Arial" w:hint="default"/>
      <w:u w:val="single"/>
    </w:rPr>
  </w:style>
  <w:style w:type="character" w:customStyle="1" w:styleId="Level4asHeadingtext">
    <w:name w:val="Level 4 as Heading (text)"/>
    <w:basedOn w:val="DefaultParagraphFont"/>
    <w:rsid w:val="00E5488A"/>
    <w:rPr>
      <w:rFonts w:ascii="Arial" w:hAnsi="Arial" w:cs="Arial" w:hint="default"/>
      <w:u w:val="single"/>
    </w:rPr>
  </w:style>
  <w:style w:type="character" w:customStyle="1" w:styleId="CommentTextChar1">
    <w:name w:val="Comment Text Char1"/>
    <w:basedOn w:val="DefaultParagraphFont"/>
    <w:uiPriority w:val="99"/>
    <w:semiHidden/>
    <w:rsid w:val="00E5488A"/>
    <w:rPr>
      <w:rFonts w:ascii="Arial" w:eastAsia="Arial" w:hAnsi="Arial" w:cs="Arial" w:hint="default"/>
    </w:rPr>
  </w:style>
  <w:style w:type="character" w:customStyle="1" w:styleId="CommentSubjectChar1">
    <w:name w:val="Comment Subject Char1"/>
    <w:basedOn w:val="CommentTextChar1"/>
    <w:uiPriority w:val="99"/>
    <w:semiHidden/>
    <w:rsid w:val="00E5488A"/>
    <w:rPr>
      <w:rFonts w:ascii="Arial" w:eastAsia="Arial" w:hAnsi="Arial" w:cs="Arial" w:hint="default"/>
      <w:b/>
      <w:bCs/>
    </w:rPr>
  </w:style>
  <w:style w:type="table" w:customStyle="1" w:styleId="TableGrid1">
    <w:name w:val="Table Grid1"/>
    <w:basedOn w:val="TableNormal"/>
    <w:next w:val="TableGrid"/>
    <w:rsid w:val="00E5488A"/>
    <w:pPr>
      <w:spacing w:after="0" w:line="240" w:lineRule="auto"/>
      <w:jc w:val="both"/>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rgesSalmonTable1">
    <w:name w:val="Burges Salmon Table1"/>
    <w:basedOn w:val="TableNormal"/>
    <w:uiPriority w:val="99"/>
    <w:rsid w:val="00E5488A"/>
    <w:pPr>
      <w:spacing w:after="0" w:line="240" w:lineRule="auto"/>
    </w:pPr>
    <w:rPr>
      <w:rFonts w:ascii="Arial" w:eastAsia="Times New Roman" w:hAnsi="Arial" w:cs="Times New Roman"/>
      <w:sz w:val="20"/>
      <w:szCs w:val="20"/>
      <w:lang w:val="en-GB" w:eastAsia="en-GB"/>
    </w:rPr>
    <w:tblPr>
      <w:tblStyleRowBandSize w:val="1"/>
      <w:tblStyleColBandSize w:val="1"/>
      <w:tblInd w:w="0" w:type="nil"/>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cPr>
    </w:tblStylePr>
    <w:tblStylePr w:type="lastRow">
      <w:rPr>
        <w:rFonts w:ascii="Arial" w:hAnsi="Arial" w:cs="Arial" w:hint="default"/>
        <w:b/>
        <w:sz w:val="20"/>
        <w:szCs w:val="20"/>
      </w:rPr>
      <w:tblPr/>
      <w:tcPr>
        <w:shd w:val="clear" w:color="auto" w:fill="CACED1"/>
      </w:tc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table" w:customStyle="1" w:styleId="BurgesSalmonTable11">
    <w:name w:val="Burges Salmon Table11"/>
    <w:basedOn w:val="TableNormal"/>
    <w:uiPriority w:val="99"/>
    <w:rsid w:val="00E5488A"/>
    <w:pPr>
      <w:spacing w:after="0" w:line="240" w:lineRule="auto"/>
    </w:pPr>
    <w:rPr>
      <w:rFonts w:ascii="Arial" w:eastAsia="Calibri" w:hAnsi="Arial" w:cs="Times New Roman"/>
      <w:sz w:val="20"/>
      <w:lang w:val="en-GB"/>
    </w:rPr>
    <w:tblPr>
      <w:tblStyleRowBandSize w:val="1"/>
      <w:tblStyleColBandSize w:val="1"/>
      <w:tblInd w:w="0" w:type="nil"/>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paragraph" w:styleId="Revision">
    <w:name w:val="Revision"/>
    <w:hidden/>
    <w:uiPriority w:val="99"/>
    <w:semiHidden/>
    <w:rsid w:val="00E5488A"/>
    <w:pPr>
      <w:spacing w:after="0" w:line="240" w:lineRule="auto"/>
    </w:pPr>
    <w:rPr>
      <w:rFonts w:ascii="Arial" w:eastAsia="Batang" w:hAnsi="Arial" w:cs="Times New Roman"/>
      <w:sz w:val="20"/>
      <w:szCs w:val="20"/>
      <w:lang w:val="en-GB" w:eastAsia="en-GB"/>
    </w:rPr>
  </w:style>
  <w:style w:type="paragraph" w:customStyle="1" w:styleId="BodyText1">
    <w:name w:val="Body Text1"/>
    <w:basedOn w:val="Normal"/>
    <w:uiPriority w:val="1"/>
    <w:qFormat/>
    <w:rsid w:val="004302E4"/>
    <w:pPr>
      <w:suppressAutoHyphens/>
      <w:adjustRightInd/>
      <w:spacing w:after="240"/>
    </w:pPr>
    <w:rPr>
      <w:rFonts w:asciiTheme="minorHAnsi" w:eastAsia="Helvetica Neue Light" w:hAnsiTheme="minorHAnsi" w:cs="Helvetica Neue Light"/>
      <w:color w:val="000000"/>
      <w:sz w:val="24"/>
      <w:szCs w:val="24"/>
    </w:rPr>
  </w:style>
  <w:style w:type="character" w:styleId="UnresolvedMention">
    <w:name w:val="Unresolved Mention"/>
    <w:basedOn w:val="DefaultParagraphFont"/>
    <w:uiPriority w:val="99"/>
    <w:semiHidden/>
    <w:unhideWhenUsed/>
    <w:rsid w:val="00813DC3"/>
    <w:rPr>
      <w:color w:val="605E5C"/>
      <w:shd w:val="clear" w:color="auto" w:fill="E1DFDD"/>
    </w:rPr>
  </w:style>
  <w:style w:type="paragraph" w:styleId="BodyText">
    <w:name w:val="Body Text"/>
    <w:basedOn w:val="Normal"/>
    <w:link w:val="BodyTextChar"/>
    <w:uiPriority w:val="99"/>
    <w:semiHidden/>
    <w:unhideWhenUsed/>
    <w:rsid w:val="003F2630"/>
    <w:pPr>
      <w:adjustRightInd/>
      <w:spacing w:after="120" w:line="256"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semiHidden/>
    <w:rsid w:val="003F2630"/>
    <w:rPr>
      <w:lang w:val="en-GB"/>
    </w:rPr>
  </w:style>
  <w:style w:type="paragraph" w:styleId="TOCHeading">
    <w:name w:val="TOC Heading"/>
    <w:basedOn w:val="Heading1"/>
    <w:next w:val="Normal"/>
    <w:uiPriority w:val="39"/>
    <w:unhideWhenUsed/>
    <w:qFormat/>
    <w:rsid w:val="00980191"/>
    <w:pPr>
      <w:adjustRightInd/>
      <w:spacing w:line="259" w:lineRule="auto"/>
      <w:outlineLvl w:val="9"/>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qFormat/>
    <w:locked/>
    <w:rsid w:val="009F76CC"/>
    <w:rPr>
      <w:rFonts w:ascii="Arial" w:eastAsia="Batang" w:hAnsi="Arial" w:cs="Times New Roman"/>
      <w:sz w:val="20"/>
      <w:szCs w:val="20"/>
      <w:lang w:val="en-GB" w:eastAsia="en-GB"/>
    </w:rPr>
  </w:style>
  <w:style w:type="paragraph" w:customStyle="1" w:styleId="Heading2-NotToC">
    <w:name w:val="Heading 2 - Not ToC"/>
    <w:basedOn w:val="Heading2"/>
    <w:qFormat/>
    <w:rsid w:val="009F76CC"/>
    <w:pPr>
      <w:keepLines w:val="0"/>
      <w:tabs>
        <w:tab w:val="left" w:pos="851"/>
      </w:tabs>
      <w:adjustRightInd/>
      <w:spacing w:before="120" w:after="120"/>
    </w:pPr>
    <w:rPr>
      <w:rFonts w:asciiTheme="minorHAnsi" w:eastAsia="Helvetica Neue Light" w:hAnsiTheme="minorHAnsi" w:cs="Helvetica Neue Light"/>
      <w:b/>
      <w:color w:val="FF8200" w:themeColor="accent2"/>
      <w:sz w:val="32"/>
      <w:szCs w:val="32"/>
    </w:rPr>
  </w:style>
  <w:style w:type="paragraph" w:customStyle="1" w:styleId="DocId">
    <w:name w:val="DocId"/>
    <w:basedOn w:val="Footer"/>
    <w:link w:val="DocIdChar"/>
    <w:rsid w:val="005B4BFF"/>
    <w:pPr>
      <w:widowControl w:val="0"/>
      <w:spacing w:after="120"/>
    </w:pPr>
    <w:rPr>
      <w:rFonts w:cs="Arial"/>
      <w:iCs/>
    </w:rPr>
  </w:style>
  <w:style w:type="character" w:customStyle="1" w:styleId="DocIdChar">
    <w:name w:val="DocId Char"/>
    <w:basedOn w:val="DefaultParagraphFont"/>
    <w:link w:val="DocId"/>
    <w:rsid w:val="005B4BFF"/>
    <w:rPr>
      <w:rFonts w:ascii="Arial" w:eastAsia="Batang" w:hAnsi="Arial" w:cs="Arial"/>
      <w:iCs/>
      <w:sz w:val="16"/>
      <w:szCs w:val="20"/>
      <w:lang w:val="en-GB" w:eastAsia="en-GB"/>
    </w:rPr>
  </w:style>
  <w:style w:type="numbering" w:customStyle="1" w:styleId="Style1">
    <w:name w:val="Style1"/>
    <w:uiPriority w:val="99"/>
    <w:rsid w:val="00A63833"/>
    <w:pPr>
      <w:numPr>
        <w:numId w:val="73"/>
      </w:numPr>
    </w:pPr>
  </w:style>
  <w:style w:type="paragraph" w:styleId="NormalWeb">
    <w:name w:val="Normal (Web)"/>
    <w:basedOn w:val="Normal"/>
    <w:uiPriority w:val="99"/>
    <w:semiHidden/>
    <w:unhideWhenUsed/>
    <w:rsid w:val="00C8606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689">
      <w:bodyDiv w:val="1"/>
      <w:marLeft w:val="0"/>
      <w:marRight w:val="0"/>
      <w:marTop w:val="0"/>
      <w:marBottom w:val="0"/>
      <w:divBdr>
        <w:top w:val="none" w:sz="0" w:space="0" w:color="auto"/>
        <w:left w:val="none" w:sz="0" w:space="0" w:color="auto"/>
        <w:bottom w:val="none" w:sz="0" w:space="0" w:color="auto"/>
        <w:right w:val="none" w:sz="0" w:space="0" w:color="auto"/>
      </w:divBdr>
    </w:div>
    <w:div w:id="48651169">
      <w:bodyDiv w:val="1"/>
      <w:marLeft w:val="0"/>
      <w:marRight w:val="0"/>
      <w:marTop w:val="0"/>
      <w:marBottom w:val="0"/>
      <w:divBdr>
        <w:top w:val="none" w:sz="0" w:space="0" w:color="auto"/>
        <w:left w:val="none" w:sz="0" w:space="0" w:color="auto"/>
        <w:bottom w:val="none" w:sz="0" w:space="0" w:color="auto"/>
        <w:right w:val="none" w:sz="0" w:space="0" w:color="auto"/>
      </w:divBdr>
    </w:div>
    <w:div w:id="53821687">
      <w:bodyDiv w:val="1"/>
      <w:marLeft w:val="0"/>
      <w:marRight w:val="0"/>
      <w:marTop w:val="0"/>
      <w:marBottom w:val="0"/>
      <w:divBdr>
        <w:top w:val="none" w:sz="0" w:space="0" w:color="auto"/>
        <w:left w:val="none" w:sz="0" w:space="0" w:color="auto"/>
        <w:bottom w:val="none" w:sz="0" w:space="0" w:color="auto"/>
        <w:right w:val="none" w:sz="0" w:space="0" w:color="auto"/>
      </w:divBdr>
    </w:div>
    <w:div w:id="55591461">
      <w:bodyDiv w:val="1"/>
      <w:marLeft w:val="0"/>
      <w:marRight w:val="0"/>
      <w:marTop w:val="0"/>
      <w:marBottom w:val="0"/>
      <w:divBdr>
        <w:top w:val="none" w:sz="0" w:space="0" w:color="auto"/>
        <w:left w:val="none" w:sz="0" w:space="0" w:color="auto"/>
        <w:bottom w:val="none" w:sz="0" w:space="0" w:color="auto"/>
        <w:right w:val="none" w:sz="0" w:space="0" w:color="auto"/>
      </w:divBdr>
    </w:div>
    <w:div w:id="93133934">
      <w:bodyDiv w:val="1"/>
      <w:marLeft w:val="0"/>
      <w:marRight w:val="0"/>
      <w:marTop w:val="0"/>
      <w:marBottom w:val="0"/>
      <w:divBdr>
        <w:top w:val="none" w:sz="0" w:space="0" w:color="auto"/>
        <w:left w:val="none" w:sz="0" w:space="0" w:color="auto"/>
        <w:bottom w:val="none" w:sz="0" w:space="0" w:color="auto"/>
        <w:right w:val="none" w:sz="0" w:space="0" w:color="auto"/>
      </w:divBdr>
    </w:div>
    <w:div w:id="157812485">
      <w:bodyDiv w:val="1"/>
      <w:marLeft w:val="0"/>
      <w:marRight w:val="0"/>
      <w:marTop w:val="0"/>
      <w:marBottom w:val="0"/>
      <w:divBdr>
        <w:top w:val="none" w:sz="0" w:space="0" w:color="auto"/>
        <w:left w:val="none" w:sz="0" w:space="0" w:color="auto"/>
        <w:bottom w:val="none" w:sz="0" w:space="0" w:color="auto"/>
        <w:right w:val="none" w:sz="0" w:space="0" w:color="auto"/>
      </w:divBdr>
    </w:div>
    <w:div w:id="170415927">
      <w:bodyDiv w:val="1"/>
      <w:marLeft w:val="0"/>
      <w:marRight w:val="0"/>
      <w:marTop w:val="0"/>
      <w:marBottom w:val="0"/>
      <w:divBdr>
        <w:top w:val="none" w:sz="0" w:space="0" w:color="auto"/>
        <w:left w:val="none" w:sz="0" w:space="0" w:color="auto"/>
        <w:bottom w:val="none" w:sz="0" w:space="0" w:color="auto"/>
        <w:right w:val="none" w:sz="0" w:space="0" w:color="auto"/>
      </w:divBdr>
    </w:div>
    <w:div w:id="196158939">
      <w:bodyDiv w:val="1"/>
      <w:marLeft w:val="0"/>
      <w:marRight w:val="0"/>
      <w:marTop w:val="0"/>
      <w:marBottom w:val="0"/>
      <w:divBdr>
        <w:top w:val="none" w:sz="0" w:space="0" w:color="auto"/>
        <w:left w:val="none" w:sz="0" w:space="0" w:color="auto"/>
        <w:bottom w:val="none" w:sz="0" w:space="0" w:color="auto"/>
        <w:right w:val="none" w:sz="0" w:space="0" w:color="auto"/>
      </w:divBdr>
    </w:div>
    <w:div w:id="242229068">
      <w:bodyDiv w:val="1"/>
      <w:marLeft w:val="0"/>
      <w:marRight w:val="0"/>
      <w:marTop w:val="0"/>
      <w:marBottom w:val="0"/>
      <w:divBdr>
        <w:top w:val="none" w:sz="0" w:space="0" w:color="auto"/>
        <w:left w:val="none" w:sz="0" w:space="0" w:color="auto"/>
        <w:bottom w:val="none" w:sz="0" w:space="0" w:color="auto"/>
        <w:right w:val="none" w:sz="0" w:space="0" w:color="auto"/>
      </w:divBdr>
    </w:div>
    <w:div w:id="246154341">
      <w:bodyDiv w:val="1"/>
      <w:marLeft w:val="0"/>
      <w:marRight w:val="0"/>
      <w:marTop w:val="0"/>
      <w:marBottom w:val="0"/>
      <w:divBdr>
        <w:top w:val="none" w:sz="0" w:space="0" w:color="auto"/>
        <w:left w:val="none" w:sz="0" w:space="0" w:color="auto"/>
        <w:bottom w:val="none" w:sz="0" w:space="0" w:color="auto"/>
        <w:right w:val="none" w:sz="0" w:space="0" w:color="auto"/>
      </w:divBdr>
    </w:div>
    <w:div w:id="284511259">
      <w:bodyDiv w:val="1"/>
      <w:marLeft w:val="0"/>
      <w:marRight w:val="0"/>
      <w:marTop w:val="0"/>
      <w:marBottom w:val="0"/>
      <w:divBdr>
        <w:top w:val="none" w:sz="0" w:space="0" w:color="auto"/>
        <w:left w:val="none" w:sz="0" w:space="0" w:color="auto"/>
        <w:bottom w:val="none" w:sz="0" w:space="0" w:color="auto"/>
        <w:right w:val="none" w:sz="0" w:space="0" w:color="auto"/>
      </w:divBdr>
    </w:div>
    <w:div w:id="315228337">
      <w:bodyDiv w:val="1"/>
      <w:marLeft w:val="0"/>
      <w:marRight w:val="0"/>
      <w:marTop w:val="0"/>
      <w:marBottom w:val="0"/>
      <w:divBdr>
        <w:top w:val="none" w:sz="0" w:space="0" w:color="auto"/>
        <w:left w:val="none" w:sz="0" w:space="0" w:color="auto"/>
        <w:bottom w:val="none" w:sz="0" w:space="0" w:color="auto"/>
        <w:right w:val="none" w:sz="0" w:space="0" w:color="auto"/>
      </w:divBdr>
    </w:div>
    <w:div w:id="328102398">
      <w:bodyDiv w:val="1"/>
      <w:marLeft w:val="0"/>
      <w:marRight w:val="0"/>
      <w:marTop w:val="0"/>
      <w:marBottom w:val="0"/>
      <w:divBdr>
        <w:top w:val="none" w:sz="0" w:space="0" w:color="auto"/>
        <w:left w:val="none" w:sz="0" w:space="0" w:color="auto"/>
        <w:bottom w:val="none" w:sz="0" w:space="0" w:color="auto"/>
        <w:right w:val="none" w:sz="0" w:space="0" w:color="auto"/>
      </w:divBdr>
    </w:div>
    <w:div w:id="367070562">
      <w:bodyDiv w:val="1"/>
      <w:marLeft w:val="0"/>
      <w:marRight w:val="0"/>
      <w:marTop w:val="0"/>
      <w:marBottom w:val="0"/>
      <w:divBdr>
        <w:top w:val="none" w:sz="0" w:space="0" w:color="auto"/>
        <w:left w:val="none" w:sz="0" w:space="0" w:color="auto"/>
        <w:bottom w:val="none" w:sz="0" w:space="0" w:color="auto"/>
        <w:right w:val="none" w:sz="0" w:space="0" w:color="auto"/>
      </w:divBdr>
    </w:div>
    <w:div w:id="373122351">
      <w:bodyDiv w:val="1"/>
      <w:marLeft w:val="0"/>
      <w:marRight w:val="0"/>
      <w:marTop w:val="0"/>
      <w:marBottom w:val="0"/>
      <w:divBdr>
        <w:top w:val="none" w:sz="0" w:space="0" w:color="auto"/>
        <w:left w:val="none" w:sz="0" w:space="0" w:color="auto"/>
        <w:bottom w:val="none" w:sz="0" w:space="0" w:color="auto"/>
        <w:right w:val="none" w:sz="0" w:space="0" w:color="auto"/>
      </w:divBdr>
    </w:div>
    <w:div w:id="373895567">
      <w:bodyDiv w:val="1"/>
      <w:marLeft w:val="0"/>
      <w:marRight w:val="0"/>
      <w:marTop w:val="0"/>
      <w:marBottom w:val="0"/>
      <w:divBdr>
        <w:top w:val="none" w:sz="0" w:space="0" w:color="auto"/>
        <w:left w:val="none" w:sz="0" w:space="0" w:color="auto"/>
        <w:bottom w:val="none" w:sz="0" w:space="0" w:color="auto"/>
        <w:right w:val="none" w:sz="0" w:space="0" w:color="auto"/>
      </w:divBdr>
    </w:div>
    <w:div w:id="380180693">
      <w:bodyDiv w:val="1"/>
      <w:marLeft w:val="0"/>
      <w:marRight w:val="0"/>
      <w:marTop w:val="0"/>
      <w:marBottom w:val="0"/>
      <w:divBdr>
        <w:top w:val="none" w:sz="0" w:space="0" w:color="auto"/>
        <w:left w:val="none" w:sz="0" w:space="0" w:color="auto"/>
        <w:bottom w:val="none" w:sz="0" w:space="0" w:color="auto"/>
        <w:right w:val="none" w:sz="0" w:space="0" w:color="auto"/>
      </w:divBdr>
    </w:div>
    <w:div w:id="404491900">
      <w:bodyDiv w:val="1"/>
      <w:marLeft w:val="0"/>
      <w:marRight w:val="0"/>
      <w:marTop w:val="0"/>
      <w:marBottom w:val="0"/>
      <w:divBdr>
        <w:top w:val="none" w:sz="0" w:space="0" w:color="auto"/>
        <w:left w:val="none" w:sz="0" w:space="0" w:color="auto"/>
        <w:bottom w:val="none" w:sz="0" w:space="0" w:color="auto"/>
        <w:right w:val="none" w:sz="0" w:space="0" w:color="auto"/>
      </w:divBdr>
    </w:div>
    <w:div w:id="407503309">
      <w:bodyDiv w:val="1"/>
      <w:marLeft w:val="0"/>
      <w:marRight w:val="0"/>
      <w:marTop w:val="0"/>
      <w:marBottom w:val="0"/>
      <w:divBdr>
        <w:top w:val="none" w:sz="0" w:space="0" w:color="auto"/>
        <w:left w:val="none" w:sz="0" w:space="0" w:color="auto"/>
        <w:bottom w:val="none" w:sz="0" w:space="0" w:color="auto"/>
        <w:right w:val="none" w:sz="0" w:space="0" w:color="auto"/>
      </w:divBdr>
    </w:div>
    <w:div w:id="429667803">
      <w:bodyDiv w:val="1"/>
      <w:marLeft w:val="0"/>
      <w:marRight w:val="0"/>
      <w:marTop w:val="0"/>
      <w:marBottom w:val="0"/>
      <w:divBdr>
        <w:top w:val="none" w:sz="0" w:space="0" w:color="auto"/>
        <w:left w:val="none" w:sz="0" w:space="0" w:color="auto"/>
        <w:bottom w:val="none" w:sz="0" w:space="0" w:color="auto"/>
        <w:right w:val="none" w:sz="0" w:space="0" w:color="auto"/>
      </w:divBdr>
    </w:div>
    <w:div w:id="495464577">
      <w:bodyDiv w:val="1"/>
      <w:marLeft w:val="0"/>
      <w:marRight w:val="0"/>
      <w:marTop w:val="0"/>
      <w:marBottom w:val="0"/>
      <w:divBdr>
        <w:top w:val="none" w:sz="0" w:space="0" w:color="auto"/>
        <w:left w:val="none" w:sz="0" w:space="0" w:color="auto"/>
        <w:bottom w:val="none" w:sz="0" w:space="0" w:color="auto"/>
        <w:right w:val="none" w:sz="0" w:space="0" w:color="auto"/>
      </w:divBdr>
    </w:div>
    <w:div w:id="500581053">
      <w:bodyDiv w:val="1"/>
      <w:marLeft w:val="0"/>
      <w:marRight w:val="0"/>
      <w:marTop w:val="0"/>
      <w:marBottom w:val="0"/>
      <w:divBdr>
        <w:top w:val="none" w:sz="0" w:space="0" w:color="auto"/>
        <w:left w:val="none" w:sz="0" w:space="0" w:color="auto"/>
        <w:bottom w:val="none" w:sz="0" w:space="0" w:color="auto"/>
        <w:right w:val="none" w:sz="0" w:space="0" w:color="auto"/>
      </w:divBdr>
    </w:div>
    <w:div w:id="539710005">
      <w:bodyDiv w:val="1"/>
      <w:marLeft w:val="0"/>
      <w:marRight w:val="0"/>
      <w:marTop w:val="0"/>
      <w:marBottom w:val="0"/>
      <w:divBdr>
        <w:top w:val="none" w:sz="0" w:space="0" w:color="auto"/>
        <w:left w:val="none" w:sz="0" w:space="0" w:color="auto"/>
        <w:bottom w:val="none" w:sz="0" w:space="0" w:color="auto"/>
        <w:right w:val="none" w:sz="0" w:space="0" w:color="auto"/>
      </w:divBdr>
    </w:div>
    <w:div w:id="650063856">
      <w:bodyDiv w:val="1"/>
      <w:marLeft w:val="0"/>
      <w:marRight w:val="0"/>
      <w:marTop w:val="0"/>
      <w:marBottom w:val="0"/>
      <w:divBdr>
        <w:top w:val="none" w:sz="0" w:space="0" w:color="auto"/>
        <w:left w:val="none" w:sz="0" w:space="0" w:color="auto"/>
        <w:bottom w:val="none" w:sz="0" w:space="0" w:color="auto"/>
        <w:right w:val="none" w:sz="0" w:space="0" w:color="auto"/>
      </w:divBdr>
    </w:div>
    <w:div w:id="683703797">
      <w:bodyDiv w:val="1"/>
      <w:marLeft w:val="0"/>
      <w:marRight w:val="0"/>
      <w:marTop w:val="0"/>
      <w:marBottom w:val="0"/>
      <w:divBdr>
        <w:top w:val="none" w:sz="0" w:space="0" w:color="auto"/>
        <w:left w:val="none" w:sz="0" w:space="0" w:color="auto"/>
        <w:bottom w:val="none" w:sz="0" w:space="0" w:color="auto"/>
        <w:right w:val="none" w:sz="0" w:space="0" w:color="auto"/>
      </w:divBdr>
    </w:div>
    <w:div w:id="728113772">
      <w:bodyDiv w:val="1"/>
      <w:marLeft w:val="0"/>
      <w:marRight w:val="0"/>
      <w:marTop w:val="0"/>
      <w:marBottom w:val="0"/>
      <w:divBdr>
        <w:top w:val="none" w:sz="0" w:space="0" w:color="auto"/>
        <w:left w:val="none" w:sz="0" w:space="0" w:color="auto"/>
        <w:bottom w:val="none" w:sz="0" w:space="0" w:color="auto"/>
        <w:right w:val="none" w:sz="0" w:space="0" w:color="auto"/>
      </w:divBdr>
    </w:div>
    <w:div w:id="753432641">
      <w:bodyDiv w:val="1"/>
      <w:marLeft w:val="0"/>
      <w:marRight w:val="0"/>
      <w:marTop w:val="0"/>
      <w:marBottom w:val="0"/>
      <w:divBdr>
        <w:top w:val="none" w:sz="0" w:space="0" w:color="auto"/>
        <w:left w:val="none" w:sz="0" w:space="0" w:color="auto"/>
        <w:bottom w:val="none" w:sz="0" w:space="0" w:color="auto"/>
        <w:right w:val="none" w:sz="0" w:space="0" w:color="auto"/>
      </w:divBdr>
    </w:div>
    <w:div w:id="753630638">
      <w:bodyDiv w:val="1"/>
      <w:marLeft w:val="0"/>
      <w:marRight w:val="0"/>
      <w:marTop w:val="0"/>
      <w:marBottom w:val="0"/>
      <w:divBdr>
        <w:top w:val="none" w:sz="0" w:space="0" w:color="auto"/>
        <w:left w:val="none" w:sz="0" w:space="0" w:color="auto"/>
        <w:bottom w:val="none" w:sz="0" w:space="0" w:color="auto"/>
        <w:right w:val="none" w:sz="0" w:space="0" w:color="auto"/>
      </w:divBdr>
    </w:div>
    <w:div w:id="755056332">
      <w:bodyDiv w:val="1"/>
      <w:marLeft w:val="0"/>
      <w:marRight w:val="0"/>
      <w:marTop w:val="0"/>
      <w:marBottom w:val="0"/>
      <w:divBdr>
        <w:top w:val="none" w:sz="0" w:space="0" w:color="auto"/>
        <w:left w:val="none" w:sz="0" w:space="0" w:color="auto"/>
        <w:bottom w:val="none" w:sz="0" w:space="0" w:color="auto"/>
        <w:right w:val="none" w:sz="0" w:space="0" w:color="auto"/>
      </w:divBdr>
    </w:div>
    <w:div w:id="771626864">
      <w:bodyDiv w:val="1"/>
      <w:marLeft w:val="0"/>
      <w:marRight w:val="0"/>
      <w:marTop w:val="0"/>
      <w:marBottom w:val="0"/>
      <w:divBdr>
        <w:top w:val="none" w:sz="0" w:space="0" w:color="auto"/>
        <w:left w:val="none" w:sz="0" w:space="0" w:color="auto"/>
        <w:bottom w:val="none" w:sz="0" w:space="0" w:color="auto"/>
        <w:right w:val="none" w:sz="0" w:space="0" w:color="auto"/>
      </w:divBdr>
    </w:div>
    <w:div w:id="774907734">
      <w:bodyDiv w:val="1"/>
      <w:marLeft w:val="0"/>
      <w:marRight w:val="0"/>
      <w:marTop w:val="0"/>
      <w:marBottom w:val="0"/>
      <w:divBdr>
        <w:top w:val="none" w:sz="0" w:space="0" w:color="auto"/>
        <w:left w:val="none" w:sz="0" w:space="0" w:color="auto"/>
        <w:bottom w:val="none" w:sz="0" w:space="0" w:color="auto"/>
        <w:right w:val="none" w:sz="0" w:space="0" w:color="auto"/>
      </w:divBdr>
    </w:div>
    <w:div w:id="789711909">
      <w:bodyDiv w:val="1"/>
      <w:marLeft w:val="0"/>
      <w:marRight w:val="0"/>
      <w:marTop w:val="0"/>
      <w:marBottom w:val="0"/>
      <w:divBdr>
        <w:top w:val="none" w:sz="0" w:space="0" w:color="auto"/>
        <w:left w:val="none" w:sz="0" w:space="0" w:color="auto"/>
        <w:bottom w:val="none" w:sz="0" w:space="0" w:color="auto"/>
        <w:right w:val="none" w:sz="0" w:space="0" w:color="auto"/>
      </w:divBdr>
    </w:div>
    <w:div w:id="805708513">
      <w:bodyDiv w:val="1"/>
      <w:marLeft w:val="0"/>
      <w:marRight w:val="0"/>
      <w:marTop w:val="0"/>
      <w:marBottom w:val="0"/>
      <w:divBdr>
        <w:top w:val="none" w:sz="0" w:space="0" w:color="auto"/>
        <w:left w:val="none" w:sz="0" w:space="0" w:color="auto"/>
        <w:bottom w:val="none" w:sz="0" w:space="0" w:color="auto"/>
        <w:right w:val="none" w:sz="0" w:space="0" w:color="auto"/>
      </w:divBdr>
    </w:div>
    <w:div w:id="809126959">
      <w:bodyDiv w:val="1"/>
      <w:marLeft w:val="0"/>
      <w:marRight w:val="0"/>
      <w:marTop w:val="0"/>
      <w:marBottom w:val="0"/>
      <w:divBdr>
        <w:top w:val="none" w:sz="0" w:space="0" w:color="auto"/>
        <w:left w:val="none" w:sz="0" w:space="0" w:color="auto"/>
        <w:bottom w:val="none" w:sz="0" w:space="0" w:color="auto"/>
        <w:right w:val="none" w:sz="0" w:space="0" w:color="auto"/>
      </w:divBdr>
    </w:div>
    <w:div w:id="827134522">
      <w:bodyDiv w:val="1"/>
      <w:marLeft w:val="0"/>
      <w:marRight w:val="0"/>
      <w:marTop w:val="0"/>
      <w:marBottom w:val="0"/>
      <w:divBdr>
        <w:top w:val="none" w:sz="0" w:space="0" w:color="auto"/>
        <w:left w:val="none" w:sz="0" w:space="0" w:color="auto"/>
        <w:bottom w:val="none" w:sz="0" w:space="0" w:color="auto"/>
        <w:right w:val="none" w:sz="0" w:space="0" w:color="auto"/>
      </w:divBdr>
    </w:div>
    <w:div w:id="860044911">
      <w:bodyDiv w:val="1"/>
      <w:marLeft w:val="0"/>
      <w:marRight w:val="0"/>
      <w:marTop w:val="0"/>
      <w:marBottom w:val="0"/>
      <w:divBdr>
        <w:top w:val="none" w:sz="0" w:space="0" w:color="auto"/>
        <w:left w:val="none" w:sz="0" w:space="0" w:color="auto"/>
        <w:bottom w:val="none" w:sz="0" w:space="0" w:color="auto"/>
        <w:right w:val="none" w:sz="0" w:space="0" w:color="auto"/>
      </w:divBdr>
    </w:div>
    <w:div w:id="912130077">
      <w:bodyDiv w:val="1"/>
      <w:marLeft w:val="0"/>
      <w:marRight w:val="0"/>
      <w:marTop w:val="0"/>
      <w:marBottom w:val="0"/>
      <w:divBdr>
        <w:top w:val="none" w:sz="0" w:space="0" w:color="auto"/>
        <w:left w:val="none" w:sz="0" w:space="0" w:color="auto"/>
        <w:bottom w:val="none" w:sz="0" w:space="0" w:color="auto"/>
        <w:right w:val="none" w:sz="0" w:space="0" w:color="auto"/>
      </w:divBdr>
    </w:div>
    <w:div w:id="927884032">
      <w:bodyDiv w:val="1"/>
      <w:marLeft w:val="0"/>
      <w:marRight w:val="0"/>
      <w:marTop w:val="0"/>
      <w:marBottom w:val="0"/>
      <w:divBdr>
        <w:top w:val="none" w:sz="0" w:space="0" w:color="auto"/>
        <w:left w:val="none" w:sz="0" w:space="0" w:color="auto"/>
        <w:bottom w:val="none" w:sz="0" w:space="0" w:color="auto"/>
        <w:right w:val="none" w:sz="0" w:space="0" w:color="auto"/>
      </w:divBdr>
    </w:div>
    <w:div w:id="1016540202">
      <w:bodyDiv w:val="1"/>
      <w:marLeft w:val="0"/>
      <w:marRight w:val="0"/>
      <w:marTop w:val="0"/>
      <w:marBottom w:val="0"/>
      <w:divBdr>
        <w:top w:val="none" w:sz="0" w:space="0" w:color="auto"/>
        <w:left w:val="none" w:sz="0" w:space="0" w:color="auto"/>
        <w:bottom w:val="none" w:sz="0" w:space="0" w:color="auto"/>
        <w:right w:val="none" w:sz="0" w:space="0" w:color="auto"/>
      </w:divBdr>
    </w:div>
    <w:div w:id="1024669261">
      <w:bodyDiv w:val="1"/>
      <w:marLeft w:val="0"/>
      <w:marRight w:val="0"/>
      <w:marTop w:val="0"/>
      <w:marBottom w:val="0"/>
      <w:divBdr>
        <w:top w:val="none" w:sz="0" w:space="0" w:color="auto"/>
        <w:left w:val="none" w:sz="0" w:space="0" w:color="auto"/>
        <w:bottom w:val="none" w:sz="0" w:space="0" w:color="auto"/>
        <w:right w:val="none" w:sz="0" w:space="0" w:color="auto"/>
      </w:divBdr>
    </w:div>
    <w:div w:id="1075590280">
      <w:bodyDiv w:val="1"/>
      <w:marLeft w:val="0"/>
      <w:marRight w:val="0"/>
      <w:marTop w:val="0"/>
      <w:marBottom w:val="0"/>
      <w:divBdr>
        <w:top w:val="none" w:sz="0" w:space="0" w:color="auto"/>
        <w:left w:val="none" w:sz="0" w:space="0" w:color="auto"/>
        <w:bottom w:val="none" w:sz="0" w:space="0" w:color="auto"/>
        <w:right w:val="none" w:sz="0" w:space="0" w:color="auto"/>
      </w:divBdr>
    </w:div>
    <w:div w:id="1090737950">
      <w:bodyDiv w:val="1"/>
      <w:marLeft w:val="0"/>
      <w:marRight w:val="0"/>
      <w:marTop w:val="0"/>
      <w:marBottom w:val="0"/>
      <w:divBdr>
        <w:top w:val="none" w:sz="0" w:space="0" w:color="auto"/>
        <w:left w:val="none" w:sz="0" w:space="0" w:color="auto"/>
        <w:bottom w:val="none" w:sz="0" w:space="0" w:color="auto"/>
        <w:right w:val="none" w:sz="0" w:space="0" w:color="auto"/>
      </w:divBdr>
    </w:div>
    <w:div w:id="1103302022">
      <w:bodyDiv w:val="1"/>
      <w:marLeft w:val="0"/>
      <w:marRight w:val="0"/>
      <w:marTop w:val="0"/>
      <w:marBottom w:val="0"/>
      <w:divBdr>
        <w:top w:val="none" w:sz="0" w:space="0" w:color="auto"/>
        <w:left w:val="none" w:sz="0" w:space="0" w:color="auto"/>
        <w:bottom w:val="none" w:sz="0" w:space="0" w:color="auto"/>
        <w:right w:val="none" w:sz="0" w:space="0" w:color="auto"/>
      </w:divBdr>
    </w:div>
    <w:div w:id="1119372454">
      <w:bodyDiv w:val="1"/>
      <w:marLeft w:val="0"/>
      <w:marRight w:val="0"/>
      <w:marTop w:val="0"/>
      <w:marBottom w:val="0"/>
      <w:divBdr>
        <w:top w:val="none" w:sz="0" w:space="0" w:color="auto"/>
        <w:left w:val="none" w:sz="0" w:space="0" w:color="auto"/>
        <w:bottom w:val="none" w:sz="0" w:space="0" w:color="auto"/>
        <w:right w:val="none" w:sz="0" w:space="0" w:color="auto"/>
      </w:divBdr>
    </w:div>
    <w:div w:id="1125735698">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049595">
      <w:bodyDiv w:val="1"/>
      <w:marLeft w:val="0"/>
      <w:marRight w:val="0"/>
      <w:marTop w:val="0"/>
      <w:marBottom w:val="0"/>
      <w:divBdr>
        <w:top w:val="none" w:sz="0" w:space="0" w:color="auto"/>
        <w:left w:val="none" w:sz="0" w:space="0" w:color="auto"/>
        <w:bottom w:val="none" w:sz="0" w:space="0" w:color="auto"/>
        <w:right w:val="none" w:sz="0" w:space="0" w:color="auto"/>
      </w:divBdr>
    </w:div>
    <w:div w:id="1146584843">
      <w:bodyDiv w:val="1"/>
      <w:marLeft w:val="0"/>
      <w:marRight w:val="0"/>
      <w:marTop w:val="0"/>
      <w:marBottom w:val="0"/>
      <w:divBdr>
        <w:top w:val="none" w:sz="0" w:space="0" w:color="auto"/>
        <w:left w:val="none" w:sz="0" w:space="0" w:color="auto"/>
        <w:bottom w:val="none" w:sz="0" w:space="0" w:color="auto"/>
        <w:right w:val="none" w:sz="0" w:space="0" w:color="auto"/>
      </w:divBdr>
    </w:div>
    <w:div w:id="1163356383">
      <w:bodyDiv w:val="1"/>
      <w:marLeft w:val="0"/>
      <w:marRight w:val="0"/>
      <w:marTop w:val="0"/>
      <w:marBottom w:val="0"/>
      <w:divBdr>
        <w:top w:val="none" w:sz="0" w:space="0" w:color="auto"/>
        <w:left w:val="none" w:sz="0" w:space="0" w:color="auto"/>
        <w:bottom w:val="none" w:sz="0" w:space="0" w:color="auto"/>
        <w:right w:val="none" w:sz="0" w:space="0" w:color="auto"/>
      </w:divBdr>
    </w:div>
    <w:div w:id="1200970625">
      <w:bodyDiv w:val="1"/>
      <w:marLeft w:val="0"/>
      <w:marRight w:val="0"/>
      <w:marTop w:val="0"/>
      <w:marBottom w:val="0"/>
      <w:divBdr>
        <w:top w:val="none" w:sz="0" w:space="0" w:color="auto"/>
        <w:left w:val="none" w:sz="0" w:space="0" w:color="auto"/>
        <w:bottom w:val="none" w:sz="0" w:space="0" w:color="auto"/>
        <w:right w:val="none" w:sz="0" w:space="0" w:color="auto"/>
      </w:divBdr>
    </w:div>
    <w:div w:id="1300527007">
      <w:bodyDiv w:val="1"/>
      <w:marLeft w:val="0"/>
      <w:marRight w:val="0"/>
      <w:marTop w:val="0"/>
      <w:marBottom w:val="0"/>
      <w:divBdr>
        <w:top w:val="none" w:sz="0" w:space="0" w:color="auto"/>
        <w:left w:val="none" w:sz="0" w:space="0" w:color="auto"/>
        <w:bottom w:val="none" w:sz="0" w:space="0" w:color="auto"/>
        <w:right w:val="none" w:sz="0" w:space="0" w:color="auto"/>
      </w:divBdr>
    </w:div>
    <w:div w:id="1382554076">
      <w:bodyDiv w:val="1"/>
      <w:marLeft w:val="0"/>
      <w:marRight w:val="0"/>
      <w:marTop w:val="0"/>
      <w:marBottom w:val="0"/>
      <w:divBdr>
        <w:top w:val="none" w:sz="0" w:space="0" w:color="auto"/>
        <w:left w:val="none" w:sz="0" w:space="0" w:color="auto"/>
        <w:bottom w:val="none" w:sz="0" w:space="0" w:color="auto"/>
        <w:right w:val="none" w:sz="0" w:space="0" w:color="auto"/>
      </w:divBdr>
    </w:div>
    <w:div w:id="1398935300">
      <w:bodyDiv w:val="1"/>
      <w:marLeft w:val="0"/>
      <w:marRight w:val="0"/>
      <w:marTop w:val="0"/>
      <w:marBottom w:val="0"/>
      <w:divBdr>
        <w:top w:val="none" w:sz="0" w:space="0" w:color="auto"/>
        <w:left w:val="none" w:sz="0" w:space="0" w:color="auto"/>
        <w:bottom w:val="none" w:sz="0" w:space="0" w:color="auto"/>
        <w:right w:val="none" w:sz="0" w:space="0" w:color="auto"/>
      </w:divBdr>
    </w:div>
    <w:div w:id="1438599001">
      <w:bodyDiv w:val="1"/>
      <w:marLeft w:val="0"/>
      <w:marRight w:val="0"/>
      <w:marTop w:val="0"/>
      <w:marBottom w:val="0"/>
      <w:divBdr>
        <w:top w:val="none" w:sz="0" w:space="0" w:color="auto"/>
        <w:left w:val="none" w:sz="0" w:space="0" w:color="auto"/>
        <w:bottom w:val="none" w:sz="0" w:space="0" w:color="auto"/>
        <w:right w:val="none" w:sz="0" w:space="0" w:color="auto"/>
      </w:divBdr>
    </w:div>
    <w:div w:id="1466393654">
      <w:bodyDiv w:val="1"/>
      <w:marLeft w:val="0"/>
      <w:marRight w:val="0"/>
      <w:marTop w:val="0"/>
      <w:marBottom w:val="0"/>
      <w:divBdr>
        <w:top w:val="none" w:sz="0" w:space="0" w:color="auto"/>
        <w:left w:val="none" w:sz="0" w:space="0" w:color="auto"/>
        <w:bottom w:val="none" w:sz="0" w:space="0" w:color="auto"/>
        <w:right w:val="none" w:sz="0" w:space="0" w:color="auto"/>
      </w:divBdr>
    </w:div>
    <w:div w:id="1522086207">
      <w:bodyDiv w:val="1"/>
      <w:marLeft w:val="0"/>
      <w:marRight w:val="0"/>
      <w:marTop w:val="0"/>
      <w:marBottom w:val="0"/>
      <w:divBdr>
        <w:top w:val="none" w:sz="0" w:space="0" w:color="auto"/>
        <w:left w:val="none" w:sz="0" w:space="0" w:color="auto"/>
        <w:bottom w:val="none" w:sz="0" w:space="0" w:color="auto"/>
        <w:right w:val="none" w:sz="0" w:space="0" w:color="auto"/>
      </w:divBdr>
    </w:div>
    <w:div w:id="1547180660">
      <w:bodyDiv w:val="1"/>
      <w:marLeft w:val="0"/>
      <w:marRight w:val="0"/>
      <w:marTop w:val="0"/>
      <w:marBottom w:val="0"/>
      <w:divBdr>
        <w:top w:val="none" w:sz="0" w:space="0" w:color="auto"/>
        <w:left w:val="none" w:sz="0" w:space="0" w:color="auto"/>
        <w:bottom w:val="none" w:sz="0" w:space="0" w:color="auto"/>
        <w:right w:val="none" w:sz="0" w:space="0" w:color="auto"/>
      </w:divBdr>
    </w:div>
    <w:div w:id="1577279150">
      <w:bodyDiv w:val="1"/>
      <w:marLeft w:val="0"/>
      <w:marRight w:val="0"/>
      <w:marTop w:val="0"/>
      <w:marBottom w:val="0"/>
      <w:divBdr>
        <w:top w:val="none" w:sz="0" w:space="0" w:color="auto"/>
        <w:left w:val="none" w:sz="0" w:space="0" w:color="auto"/>
        <w:bottom w:val="none" w:sz="0" w:space="0" w:color="auto"/>
        <w:right w:val="none" w:sz="0" w:space="0" w:color="auto"/>
      </w:divBdr>
    </w:div>
    <w:div w:id="1619292637">
      <w:bodyDiv w:val="1"/>
      <w:marLeft w:val="0"/>
      <w:marRight w:val="0"/>
      <w:marTop w:val="0"/>
      <w:marBottom w:val="0"/>
      <w:divBdr>
        <w:top w:val="none" w:sz="0" w:space="0" w:color="auto"/>
        <w:left w:val="none" w:sz="0" w:space="0" w:color="auto"/>
        <w:bottom w:val="none" w:sz="0" w:space="0" w:color="auto"/>
        <w:right w:val="none" w:sz="0" w:space="0" w:color="auto"/>
      </w:divBdr>
    </w:div>
    <w:div w:id="1622490029">
      <w:bodyDiv w:val="1"/>
      <w:marLeft w:val="0"/>
      <w:marRight w:val="0"/>
      <w:marTop w:val="0"/>
      <w:marBottom w:val="0"/>
      <w:divBdr>
        <w:top w:val="none" w:sz="0" w:space="0" w:color="auto"/>
        <w:left w:val="none" w:sz="0" w:space="0" w:color="auto"/>
        <w:bottom w:val="none" w:sz="0" w:space="0" w:color="auto"/>
        <w:right w:val="none" w:sz="0" w:space="0" w:color="auto"/>
      </w:divBdr>
    </w:div>
    <w:div w:id="1626501638">
      <w:bodyDiv w:val="1"/>
      <w:marLeft w:val="0"/>
      <w:marRight w:val="0"/>
      <w:marTop w:val="0"/>
      <w:marBottom w:val="0"/>
      <w:divBdr>
        <w:top w:val="none" w:sz="0" w:space="0" w:color="auto"/>
        <w:left w:val="none" w:sz="0" w:space="0" w:color="auto"/>
        <w:bottom w:val="none" w:sz="0" w:space="0" w:color="auto"/>
        <w:right w:val="none" w:sz="0" w:space="0" w:color="auto"/>
      </w:divBdr>
    </w:div>
    <w:div w:id="1631471030">
      <w:bodyDiv w:val="1"/>
      <w:marLeft w:val="0"/>
      <w:marRight w:val="0"/>
      <w:marTop w:val="0"/>
      <w:marBottom w:val="0"/>
      <w:divBdr>
        <w:top w:val="none" w:sz="0" w:space="0" w:color="auto"/>
        <w:left w:val="none" w:sz="0" w:space="0" w:color="auto"/>
        <w:bottom w:val="none" w:sz="0" w:space="0" w:color="auto"/>
        <w:right w:val="none" w:sz="0" w:space="0" w:color="auto"/>
      </w:divBdr>
    </w:div>
    <w:div w:id="1632251765">
      <w:bodyDiv w:val="1"/>
      <w:marLeft w:val="0"/>
      <w:marRight w:val="0"/>
      <w:marTop w:val="0"/>
      <w:marBottom w:val="0"/>
      <w:divBdr>
        <w:top w:val="none" w:sz="0" w:space="0" w:color="auto"/>
        <w:left w:val="none" w:sz="0" w:space="0" w:color="auto"/>
        <w:bottom w:val="none" w:sz="0" w:space="0" w:color="auto"/>
        <w:right w:val="none" w:sz="0" w:space="0" w:color="auto"/>
      </w:divBdr>
    </w:div>
    <w:div w:id="1654328828">
      <w:bodyDiv w:val="1"/>
      <w:marLeft w:val="0"/>
      <w:marRight w:val="0"/>
      <w:marTop w:val="0"/>
      <w:marBottom w:val="0"/>
      <w:divBdr>
        <w:top w:val="none" w:sz="0" w:space="0" w:color="auto"/>
        <w:left w:val="none" w:sz="0" w:space="0" w:color="auto"/>
        <w:bottom w:val="none" w:sz="0" w:space="0" w:color="auto"/>
        <w:right w:val="none" w:sz="0" w:space="0" w:color="auto"/>
      </w:divBdr>
    </w:div>
    <w:div w:id="1665469452">
      <w:bodyDiv w:val="1"/>
      <w:marLeft w:val="0"/>
      <w:marRight w:val="0"/>
      <w:marTop w:val="0"/>
      <w:marBottom w:val="0"/>
      <w:divBdr>
        <w:top w:val="none" w:sz="0" w:space="0" w:color="auto"/>
        <w:left w:val="none" w:sz="0" w:space="0" w:color="auto"/>
        <w:bottom w:val="none" w:sz="0" w:space="0" w:color="auto"/>
        <w:right w:val="none" w:sz="0" w:space="0" w:color="auto"/>
      </w:divBdr>
    </w:div>
    <w:div w:id="1700623867">
      <w:bodyDiv w:val="1"/>
      <w:marLeft w:val="0"/>
      <w:marRight w:val="0"/>
      <w:marTop w:val="0"/>
      <w:marBottom w:val="0"/>
      <w:divBdr>
        <w:top w:val="none" w:sz="0" w:space="0" w:color="auto"/>
        <w:left w:val="none" w:sz="0" w:space="0" w:color="auto"/>
        <w:bottom w:val="none" w:sz="0" w:space="0" w:color="auto"/>
        <w:right w:val="none" w:sz="0" w:space="0" w:color="auto"/>
      </w:divBdr>
    </w:div>
    <w:div w:id="1713459180">
      <w:bodyDiv w:val="1"/>
      <w:marLeft w:val="0"/>
      <w:marRight w:val="0"/>
      <w:marTop w:val="0"/>
      <w:marBottom w:val="0"/>
      <w:divBdr>
        <w:top w:val="none" w:sz="0" w:space="0" w:color="auto"/>
        <w:left w:val="none" w:sz="0" w:space="0" w:color="auto"/>
        <w:bottom w:val="none" w:sz="0" w:space="0" w:color="auto"/>
        <w:right w:val="none" w:sz="0" w:space="0" w:color="auto"/>
      </w:divBdr>
    </w:div>
    <w:div w:id="1730570855">
      <w:bodyDiv w:val="1"/>
      <w:marLeft w:val="0"/>
      <w:marRight w:val="0"/>
      <w:marTop w:val="0"/>
      <w:marBottom w:val="0"/>
      <w:divBdr>
        <w:top w:val="none" w:sz="0" w:space="0" w:color="auto"/>
        <w:left w:val="none" w:sz="0" w:space="0" w:color="auto"/>
        <w:bottom w:val="none" w:sz="0" w:space="0" w:color="auto"/>
        <w:right w:val="none" w:sz="0" w:space="0" w:color="auto"/>
      </w:divBdr>
    </w:div>
    <w:div w:id="1775589843">
      <w:bodyDiv w:val="1"/>
      <w:marLeft w:val="0"/>
      <w:marRight w:val="0"/>
      <w:marTop w:val="0"/>
      <w:marBottom w:val="0"/>
      <w:divBdr>
        <w:top w:val="none" w:sz="0" w:space="0" w:color="auto"/>
        <w:left w:val="none" w:sz="0" w:space="0" w:color="auto"/>
        <w:bottom w:val="none" w:sz="0" w:space="0" w:color="auto"/>
        <w:right w:val="none" w:sz="0" w:space="0" w:color="auto"/>
      </w:divBdr>
    </w:div>
    <w:div w:id="1777168020">
      <w:bodyDiv w:val="1"/>
      <w:marLeft w:val="0"/>
      <w:marRight w:val="0"/>
      <w:marTop w:val="0"/>
      <w:marBottom w:val="0"/>
      <w:divBdr>
        <w:top w:val="none" w:sz="0" w:space="0" w:color="auto"/>
        <w:left w:val="none" w:sz="0" w:space="0" w:color="auto"/>
        <w:bottom w:val="none" w:sz="0" w:space="0" w:color="auto"/>
        <w:right w:val="none" w:sz="0" w:space="0" w:color="auto"/>
      </w:divBdr>
    </w:div>
    <w:div w:id="1787389788">
      <w:bodyDiv w:val="1"/>
      <w:marLeft w:val="0"/>
      <w:marRight w:val="0"/>
      <w:marTop w:val="0"/>
      <w:marBottom w:val="0"/>
      <w:divBdr>
        <w:top w:val="none" w:sz="0" w:space="0" w:color="auto"/>
        <w:left w:val="none" w:sz="0" w:space="0" w:color="auto"/>
        <w:bottom w:val="none" w:sz="0" w:space="0" w:color="auto"/>
        <w:right w:val="none" w:sz="0" w:space="0" w:color="auto"/>
      </w:divBdr>
    </w:div>
    <w:div w:id="1797142984">
      <w:bodyDiv w:val="1"/>
      <w:marLeft w:val="0"/>
      <w:marRight w:val="0"/>
      <w:marTop w:val="0"/>
      <w:marBottom w:val="0"/>
      <w:divBdr>
        <w:top w:val="none" w:sz="0" w:space="0" w:color="auto"/>
        <w:left w:val="none" w:sz="0" w:space="0" w:color="auto"/>
        <w:bottom w:val="none" w:sz="0" w:space="0" w:color="auto"/>
        <w:right w:val="none" w:sz="0" w:space="0" w:color="auto"/>
      </w:divBdr>
    </w:div>
    <w:div w:id="1868912160">
      <w:bodyDiv w:val="1"/>
      <w:marLeft w:val="0"/>
      <w:marRight w:val="0"/>
      <w:marTop w:val="0"/>
      <w:marBottom w:val="0"/>
      <w:divBdr>
        <w:top w:val="none" w:sz="0" w:space="0" w:color="auto"/>
        <w:left w:val="none" w:sz="0" w:space="0" w:color="auto"/>
        <w:bottom w:val="none" w:sz="0" w:space="0" w:color="auto"/>
        <w:right w:val="none" w:sz="0" w:space="0" w:color="auto"/>
      </w:divBdr>
    </w:div>
    <w:div w:id="1920554997">
      <w:bodyDiv w:val="1"/>
      <w:marLeft w:val="0"/>
      <w:marRight w:val="0"/>
      <w:marTop w:val="0"/>
      <w:marBottom w:val="0"/>
      <w:divBdr>
        <w:top w:val="none" w:sz="0" w:space="0" w:color="auto"/>
        <w:left w:val="none" w:sz="0" w:space="0" w:color="auto"/>
        <w:bottom w:val="none" w:sz="0" w:space="0" w:color="auto"/>
        <w:right w:val="none" w:sz="0" w:space="0" w:color="auto"/>
      </w:divBdr>
    </w:div>
    <w:div w:id="1920744752">
      <w:bodyDiv w:val="1"/>
      <w:marLeft w:val="0"/>
      <w:marRight w:val="0"/>
      <w:marTop w:val="0"/>
      <w:marBottom w:val="0"/>
      <w:divBdr>
        <w:top w:val="none" w:sz="0" w:space="0" w:color="auto"/>
        <w:left w:val="none" w:sz="0" w:space="0" w:color="auto"/>
        <w:bottom w:val="none" w:sz="0" w:space="0" w:color="auto"/>
        <w:right w:val="none" w:sz="0" w:space="0" w:color="auto"/>
      </w:divBdr>
    </w:div>
    <w:div w:id="1951736858">
      <w:bodyDiv w:val="1"/>
      <w:marLeft w:val="0"/>
      <w:marRight w:val="0"/>
      <w:marTop w:val="0"/>
      <w:marBottom w:val="0"/>
      <w:divBdr>
        <w:top w:val="none" w:sz="0" w:space="0" w:color="auto"/>
        <w:left w:val="none" w:sz="0" w:space="0" w:color="auto"/>
        <w:bottom w:val="none" w:sz="0" w:space="0" w:color="auto"/>
        <w:right w:val="none" w:sz="0" w:space="0" w:color="auto"/>
      </w:divBdr>
    </w:div>
    <w:div w:id="1972327006">
      <w:bodyDiv w:val="1"/>
      <w:marLeft w:val="0"/>
      <w:marRight w:val="0"/>
      <w:marTop w:val="0"/>
      <w:marBottom w:val="0"/>
      <w:divBdr>
        <w:top w:val="none" w:sz="0" w:space="0" w:color="auto"/>
        <w:left w:val="none" w:sz="0" w:space="0" w:color="auto"/>
        <w:bottom w:val="none" w:sz="0" w:space="0" w:color="auto"/>
        <w:right w:val="none" w:sz="0" w:space="0" w:color="auto"/>
      </w:divBdr>
    </w:div>
    <w:div w:id="2026250297">
      <w:bodyDiv w:val="1"/>
      <w:marLeft w:val="0"/>
      <w:marRight w:val="0"/>
      <w:marTop w:val="0"/>
      <w:marBottom w:val="0"/>
      <w:divBdr>
        <w:top w:val="none" w:sz="0" w:space="0" w:color="auto"/>
        <w:left w:val="none" w:sz="0" w:space="0" w:color="auto"/>
        <w:bottom w:val="none" w:sz="0" w:space="0" w:color="auto"/>
        <w:right w:val="none" w:sz="0" w:space="0" w:color="auto"/>
      </w:divBdr>
    </w:div>
    <w:div w:id="2092581253">
      <w:bodyDiv w:val="1"/>
      <w:marLeft w:val="0"/>
      <w:marRight w:val="0"/>
      <w:marTop w:val="0"/>
      <w:marBottom w:val="0"/>
      <w:divBdr>
        <w:top w:val="none" w:sz="0" w:space="0" w:color="auto"/>
        <w:left w:val="none" w:sz="0" w:space="0" w:color="auto"/>
        <w:bottom w:val="none" w:sz="0" w:space="0" w:color="auto"/>
        <w:right w:val="none" w:sz="0" w:space="0" w:color="auto"/>
      </w:divBdr>
    </w:div>
    <w:div w:id="2110392677">
      <w:bodyDiv w:val="1"/>
      <w:marLeft w:val="0"/>
      <w:marRight w:val="0"/>
      <w:marTop w:val="0"/>
      <w:marBottom w:val="0"/>
      <w:divBdr>
        <w:top w:val="none" w:sz="0" w:space="0" w:color="auto"/>
        <w:left w:val="none" w:sz="0" w:space="0" w:color="auto"/>
        <w:bottom w:val="none" w:sz="0" w:space="0" w:color="auto"/>
        <w:right w:val="none" w:sz="0" w:space="0" w:color="auto"/>
      </w:divBdr>
    </w:div>
    <w:div w:id="2113159068">
      <w:bodyDiv w:val="1"/>
      <w:marLeft w:val="0"/>
      <w:marRight w:val="0"/>
      <w:marTop w:val="0"/>
      <w:marBottom w:val="0"/>
      <w:divBdr>
        <w:top w:val="none" w:sz="0" w:space="0" w:color="auto"/>
        <w:left w:val="none" w:sz="0" w:space="0" w:color="auto"/>
        <w:bottom w:val="none" w:sz="0" w:space="0" w:color="auto"/>
        <w:right w:val="none" w:sz="0" w:space="0" w:color="auto"/>
      </w:divBdr>
    </w:div>
    <w:div w:id="2126078665">
      <w:bodyDiv w:val="1"/>
      <w:marLeft w:val="0"/>
      <w:marRight w:val="0"/>
      <w:marTop w:val="0"/>
      <w:marBottom w:val="0"/>
      <w:divBdr>
        <w:top w:val="none" w:sz="0" w:space="0" w:color="auto"/>
        <w:left w:val="none" w:sz="0" w:space="0" w:color="auto"/>
        <w:bottom w:val="none" w:sz="0" w:space="0" w:color="auto"/>
        <w:right w:val="none" w:sz="0" w:space="0" w:color="auto"/>
      </w:divBdr>
    </w:div>
    <w:div w:id="2128312998">
      <w:bodyDiv w:val="1"/>
      <w:marLeft w:val="0"/>
      <w:marRight w:val="0"/>
      <w:marTop w:val="0"/>
      <w:marBottom w:val="0"/>
      <w:divBdr>
        <w:top w:val="none" w:sz="0" w:space="0" w:color="auto"/>
        <w:left w:val="none" w:sz="0" w:space="0" w:color="auto"/>
        <w:bottom w:val="none" w:sz="0" w:space="0" w:color="auto"/>
        <w:right w:val="none" w:sz="0" w:space="0" w:color="auto"/>
      </w:divBdr>
    </w:div>
    <w:div w:id="214318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se.gov.uk/pubns/hse39.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covenantfund.org.uk/code-of-ethical-conduc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Documents\Blank%20Document%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215938A67E49C397F3F1B93390324F"/>
        <w:category>
          <w:name w:val="General"/>
          <w:gallery w:val="placeholder"/>
        </w:category>
        <w:types>
          <w:type w:val="bbPlcHdr"/>
        </w:types>
        <w:behaviors>
          <w:behavior w:val="content"/>
        </w:behaviors>
        <w:guid w:val="{98E278E1-D835-49B6-BD83-CA6B0F46D8E9}"/>
      </w:docPartPr>
      <w:docPartBody>
        <w:p w:rsidR="00681160" w:rsidRDefault="00681160"/>
      </w:docPartBody>
    </w:docPart>
    <w:docPart>
      <w:docPartPr>
        <w:name w:val="92FEE7A1962E4902837DF79379F62F7F"/>
        <w:category>
          <w:name w:val="General"/>
          <w:gallery w:val="placeholder"/>
        </w:category>
        <w:types>
          <w:type w:val="bbPlcHdr"/>
        </w:types>
        <w:behaviors>
          <w:behavior w:val="content"/>
        </w:behaviors>
        <w:guid w:val="{754645D0-A73F-4A52-B89E-CF8D9CD092EF}"/>
      </w:docPartPr>
      <w:docPartBody>
        <w:p w:rsidR="00681160" w:rsidRDefault="00681160"/>
      </w:docPartBody>
    </w:docPart>
    <w:docPart>
      <w:docPartPr>
        <w:name w:val="BC6C82D5DE7542478BC16A8A643F0470"/>
        <w:category>
          <w:name w:val="General"/>
          <w:gallery w:val="placeholder"/>
        </w:category>
        <w:types>
          <w:type w:val="bbPlcHdr"/>
        </w:types>
        <w:behaviors>
          <w:behavior w:val="content"/>
        </w:behaviors>
        <w:guid w:val="{01DBD65B-5BE6-4DD7-AE48-3EBD4427CCEF}"/>
      </w:docPartPr>
      <w:docPartBody>
        <w:p w:rsidR="00681160" w:rsidRDefault="00681160"/>
      </w:docPartBody>
    </w:docPart>
    <w:docPart>
      <w:docPartPr>
        <w:name w:val="9464A6F2F0254EB88B4005A99A6C993C"/>
        <w:category>
          <w:name w:val="General"/>
          <w:gallery w:val="placeholder"/>
        </w:category>
        <w:types>
          <w:type w:val="bbPlcHdr"/>
        </w:types>
        <w:behaviors>
          <w:behavior w:val="content"/>
        </w:behaviors>
        <w:guid w:val="{991CDE0F-1B5A-40A2-8419-47A369626E25}"/>
      </w:docPartPr>
      <w:docPartBody>
        <w:p w:rsidR="00681160" w:rsidRDefault="00681160"/>
      </w:docPartBody>
    </w:docPart>
    <w:docPart>
      <w:docPartPr>
        <w:name w:val="D778D461E0404504A87D4B1770FEBB04"/>
        <w:category>
          <w:name w:val="General"/>
          <w:gallery w:val="placeholder"/>
        </w:category>
        <w:types>
          <w:type w:val="bbPlcHdr"/>
        </w:types>
        <w:behaviors>
          <w:behavior w:val="content"/>
        </w:behaviors>
        <w:guid w:val="{3E9DF4F7-3604-44AD-A14C-3C160D4AA7A8}"/>
      </w:docPartPr>
      <w:docPartBody>
        <w:p w:rsidR="00681160" w:rsidRDefault="00681160"/>
      </w:docPartBody>
    </w:docPart>
    <w:docPart>
      <w:docPartPr>
        <w:name w:val="D102F15146DE45B5AFCAB601D529DD9A"/>
        <w:category>
          <w:name w:val="General"/>
          <w:gallery w:val="placeholder"/>
        </w:category>
        <w:types>
          <w:type w:val="bbPlcHdr"/>
        </w:types>
        <w:behaviors>
          <w:behavior w:val="content"/>
        </w:behaviors>
        <w:guid w:val="{48ED4192-5135-40C7-B9AC-AAF5FCA402D2}"/>
      </w:docPartPr>
      <w:docPartBody>
        <w:p w:rsidR="005C5284" w:rsidRDefault="005C5284"/>
      </w:docPartBody>
    </w:docPart>
    <w:docPart>
      <w:docPartPr>
        <w:name w:val="B315F7586D954E2689A15E0DDF85ED85"/>
        <w:category>
          <w:name w:val="General"/>
          <w:gallery w:val="placeholder"/>
        </w:category>
        <w:types>
          <w:type w:val="bbPlcHdr"/>
        </w:types>
        <w:behaviors>
          <w:behavior w:val="content"/>
        </w:behaviors>
        <w:guid w:val="{A030C221-B739-4E6C-AD15-EB8361B82508}"/>
      </w:docPartPr>
      <w:docPartBody>
        <w:p w:rsidR="005C5284" w:rsidRDefault="005C5284"/>
      </w:docPartBody>
    </w:docPart>
    <w:docPart>
      <w:docPartPr>
        <w:name w:val="22BC9014D807468F8DC7380C5ABD2032"/>
        <w:category>
          <w:name w:val="General"/>
          <w:gallery w:val="placeholder"/>
        </w:category>
        <w:types>
          <w:type w:val="bbPlcHdr"/>
        </w:types>
        <w:behaviors>
          <w:behavior w:val="content"/>
        </w:behaviors>
        <w:guid w:val="{5D1C3AB1-51D6-4A8D-BA17-8300A0A093A3}"/>
      </w:docPartPr>
      <w:docPartBody>
        <w:p w:rsidR="005D0937" w:rsidRDefault="005D0937"/>
      </w:docPartBody>
    </w:docPart>
    <w:docPart>
      <w:docPartPr>
        <w:name w:val="34375D7B34DB478B88A98AE72902A4E5"/>
        <w:category>
          <w:name w:val="General"/>
          <w:gallery w:val="placeholder"/>
        </w:category>
        <w:types>
          <w:type w:val="bbPlcHdr"/>
        </w:types>
        <w:behaviors>
          <w:behavior w:val="content"/>
        </w:behaviors>
        <w:guid w:val="{196A07D6-CFB6-48D0-892D-AAD479B7F7FF}"/>
      </w:docPartPr>
      <w:docPartBody>
        <w:p w:rsidR="005D0937" w:rsidRDefault="005D0937"/>
      </w:docPartBody>
    </w:docPart>
    <w:docPart>
      <w:docPartPr>
        <w:name w:val="947D3952847B409083CC821F5464AFA0"/>
        <w:category>
          <w:name w:val="General"/>
          <w:gallery w:val="placeholder"/>
        </w:category>
        <w:types>
          <w:type w:val="bbPlcHdr"/>
        </w:types>
        <w:behaviors>
          <w:behavior w:val="content"/>
        </w:behaviors>
        <w:guid w:val="{B44769A8-D632-426F-A0DF-81A470FF609C}"/>
      </w:docPartPr>
      <w:docPartBody>
        <w:p w:rsidR="004A464F" w:rsidRDefault="004A46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60"/>
    <w:rsid w:val="00012E2B"/>
    <w:rsid w:val="000707B3"/>
    <w:rsid w:val="0008697A"/>
    <w:rsid w:val="00131F3C"/>
    <w:rsid w:val="00183A04"/>
    <w:rsid w:val="001C71B8"/>
    <w:rsid w:val="002725AE"/>
    <w:rsid w:val="002E0ADC"/>
    <w:rsid w:val="002F5857"/>
    <w:rsid w:val="003B448F"/>
    <w:rsid w:val="003B4AEA"/>
    <w:rsid w:val="004063F1"/>
    <w:rsid w:val="00424DC4"/>
    <w:rsid w:val="004A464F"/>
    <w:rsid w:val="00506027"/>
    <w:rsid w:val="005C5284"/>
    <w:rsid w:val="005D0937"/>
    <w:rsid w:val="005D1769"/>
    <w:rsid w:val="00681160"/>
    <w:rsid w:val="006B7200"/>
    <w:rsid w:val="006E69B6"/>
    <w:rsid w:val="007708D3"/>
    <w:rsid w:val="00780DAE"/>
    <w:rsid w:val="007C6EE2"/>
    <w:rsid w:val="007F785F"/>
    <w:rsid w:val="007F79EA"/>
    <w:rsid w:val="0089322A"/>
    <w:rsid w:val="008C26E6"/>
    <w:rsid w:val="00A007FE"/>
    <w:rsid w:val="00A6136E"/>
    <w:rsid w:val="00A639C3"/>
    <w:rsid w:val="00A82BF3"/>
    <w:rsid w:val="00AA44FD"/>
    <w:rsid w:val="00AF606B"/>
    <w:rsid w:val="00C15B5C"/>
    <w:rsid w:val="00D254F0"/>
    <w:rsid w:val="00DA4CB8"/>
    <w:rsid w:val="00DF3B5A"/>
    <w:rsid w:val="00E7163A"/>
    <w:rsid w:val="00F3000D"/>
    <w:rsid w:val="00FA0A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2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urges Salmon">
  <a:themeElements>
    <a:clrScheme name="Burges Salmon">
      <a:dk1>
        <a:srgbClr val="DF1995"/>
      </a:dk1>
      <a:lt1>
        <a:srgbClr val="FFFFFF"/>
      </a:lt1>
      <a:dk2>
        <a:srgbClr val="000000"/>
      </a:dk2>
      <a:lt2>
        <a:srgbClr val="7C878E"/>
      </a:lt2>
      <a:accent1>
        <a:srgbClr val="EF3340"/>
      </a:accent1>
      <a:accent2>
        <a:srgbClr val="FF8200"/>
      </a:accent2>
      <a:accent3>
        <a:srgbClr val="F2A900"/>
      </a:accent3>
      <a:accent4>
        <a:srgbClr val="582C83"/>
      </a:accent4>
      <a:accent5>
        <a:srgbClr val="009CA6"/>
      </a:accent5>
      <a:accent6>
        <a:srgbClr val="64A70B"/>
      </a:accent6>
      <a:hlink>
        <a:srgbClr val="DF1995"/>
      </a:hlink>
      <a:folHlink>
        <a:srgbClr val="009CA6"/>
      </a:folHlink>
    </a:clrScheme>
    <a:fontScheme name="Burges Salmon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www.imanage.com/work/xmlschema">
  <documentid>WORK!75646696.3</documentid>
  <senderid>PA04</senderid>
  <senderemail>PUNIM.ANDA@BURGES-SALMON.COM</senderemail>
  <lastmodified>2025-10-20T19:21:00.0000000+01:00</lastmodified>
  <database>WORK</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t e m p l a t e   x m l n s : x s d = " h t t p : / / w w w . w 3 . o r g / 2 0 0 1 / X M L S c h e m a "   x m l n s : x s i = " h t t p : / / w w w . w 3 . o r g / 2 0 0 1 / X M L S c h e m a - i n s t a n c e "   i d = " b d 0 5 d 3 e 7 - 8 6 c f - 4 c a a - 8 5 9 e - 4 1 b 1 f 6 9 2 7 8 4 b "   d o c u m e n t I d = " 5 e d 5 6 8 3 c - 6 5 0 a - 4 f 7 f - 8 0 7 4 - 6 0 3 3 6 5 2 7 8 0 a e "   t e m p l a t e F u l l N a m e = " C : \ U s e r s \ l w 0 9 \ A p p D a t a \ R o a m i n g \ M i c r o s o f t \ T e m p l a t e s \ N o r m a l . d o t m "   v e r s i o n = " 0 "   s c h e m a V e r s i o n = " 3 "   l a n g u a g e I s o = " e n - G B "   o f f i c e I d = " 5 b 1 d b 5 1 e - 9 3 f 3 - 4 7 5 2 - 9 3 f e - c b 1 4 c 9 d c 1 c b b "   i m p o r t D a t a = " f a l s e "   w i z a r d H e i g h t = " 0 "   w i z a r d W i d t h = " 0 "   w i z a r d P a n e l W i d t h = " 0 "   h i d e W i z a r d I f V a l i d = " f a l s e "   h i d e A u t h o r = " f a l s e "   w i z a r d T a b P o s i t i o n = " n o n e "   x m l n s = " h t t p : / / b i g h a n d . c o m / w o r d / b i g h a n d d o c u m e n t c r e a t i o n / " >  
     < a u t h o r >  
         < l o c a l i z e d P r o f i l e s / >  
         < f r o m S e a r c h C o n t a c t > t r u e < / f r o m S e a r c h C o n t a c t >  
         < i d > 5 5 a 5 e f 9 f - 6 9 9 e - 4 f b a - a 2 9 2 - 0 8 f e c 6 5 f 4 7 9 2 < / i d >  
         < n a m e > A l e x a n d e r   B r o w n < / n a m e >  
         < i n i t i a l s / >  
         < p r i m a r y O f f i c e > E d i n b u r g h < / p r i m a r y O f f i c e >  
         < p r i m a r y O f f i c e I d > 2 6 e 2 6 3 9 d - 3 f 3 6 - 4 f 6 9 - b f 3 6 - 1 6 d c 9 6 0 d e 2 3 7 < / p r i m a r y O f f i c e I d >  
         < p r i m a r y L a n g u a g e I s o > e n - G B < / p r i m a r y L a n g u a g e I s o >  
         < j o b D e s c r i p t i o n > A s s o c i a t e < / j o b D e s c r i p t i o n >  
         < d e p a r t m e n t > P r o j e c t s < / d e p a r t m e n t >  
         < f u n c t i o n / >  
         < e m a i l > a l e x a n d e r . b r o w n @ b u r g e s - s a l m o n . c o m < / e m a i l >  
         < r a w D i r e c t L i n e > + 4 4   ( 0 )   1 1 7   3 0 7   6 8 4 8 < / r a w D i r e c t L i n e >  
         < r a w D i r e c t F a x / >  
         < m o b i l e > + 4 4   ( 0 )   7 9 7 6   4 3 7   9 1 5 < / m o b i l e >  
         < l o g i n > A B 2 9 < / l o g i n >  
         < e m p l y e e I d > B r o w n < / e m p l y e e I d >  
         < b a r R e g i s t r a t i o n s / >  
         < C u s t o m 1 / >  
         < C u s t o m 2 / >  
     < / a u t h o r >  
     < c o n t e n t C o n t r o l s >  
         < c o n t e n t C o n t r o l   i d = " 4 c e 5 c 0 9 1 - 7 e 9 4 - 4 e b 0 - a 9 6 7 - e 9 5 b 7 2 d 1 2 4 3 c "   n a m e = " D o c I d "   a s s e m b l y = " I p h e l i o n . O u t l i n e . W o r d . d l l "   t y p e = " I p h e l i o n . O u t l i n e . W o r d . R e n d e r e r s . T e x t R e n d e r e r "   o r d e r = " 3 "   a c t i v e = " t r u e "   e n t i t y I d = " c c c 2 f 1 0 0 - 6 b 1 c - 4 5 1 f - 9 b a a - 9 6 6 0 0 d 7 5 7 8 1 9 " 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c c c 2 f 1 0 0 - 6 b 1 c - 4 5 1 f - 9 b a a - 9 6 6 0 0 d 7 5 7 8 1 9 " 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c c c 2 f 1 0 0 - 6 b 1 c - 4 5 1 f - 9 b a a - 9 6 6 0 0 d 7 5 7 8 1 9 "   l i n k e d E n t i t y I d = " 0 0 0 0 0 0 0 0 - 0 0 0 0 - 0 0 0 0 - 0 0 0 0 - 0 0 0 0 0 0 0 0 0 0 0 0 "   l i n k e d F i e l d I d = " 0 0 0 0 0 0 0 0 - 0 0 0 0 - 0 0 0 0 - 0 0 0 0 - 0 0 0 0 0 0 0 0 0 0 0 0 "   l i n k e d F i e l d I n d e x = " 0 "   i n d e x = " 0 "   f i e l d T y p e = " q u e s t i o n "   f o r m a t E v a l u a t o r T y p e = " f o r m a t S t r i n g "   c o i D o c u m e n t F i e l d = " C l i e n t "   h i d d e n = " f a l s e " > 5 0 5 1 1 < / f i e l d >  
         < f i e l d   i d = " d 1 a 0 c 0 3 d - 0 2 5 8 - 4 7 a c - b b 6 d - 4 5 8 a 7 8 e 5 6 4 7 4 "   n a m e = " C l i e n t N a m e "   t y p e = " "   o r d e r = " 9 9 9 "   e n t i t y I d = " c c c 2 f 1 0 0 - 6 b 1 c - 4 5 1 f - 9 b a a - 9 6 6 0 0 d 7 5 7 8 1 9 "   l i n k e d E n t i t y I d = " 0 0 0 0 0 0 0 0 - 0 0 0 0 - 0 0 0 0 - 0 0 0 0 - 0 0 0 0 0 0 0 0 0 0 0 0 "   l i n k e d F i e l d I d = " 0 0 0 0 0 0 0 0 - 0 0 0 0 - 0 0 0 0 - 0 0 0 0 - 0 0 0 0 0 0 0 0 0 0 0 0 "   l i n k e d F i e l d I n d e x = " 0 "   i n d e x = " 0 "   f i e l d T y p e = " q u e s t i o n "   f o r m a t E v a l u a t o r T y p e = " f o r m a t S t r i n g "   c o i D o c u m e n t F i e l d = " C l i e n t N a m e "   h i d d e n = " f a l s e " > A r m e d   F o r c e s   C o v e n a n t   F u n d < / f i e l d >  
         < f i e l d   i d = " 3 6 2 d d c e b - 8 f c 2 - 4 e a d - b 5 3 5 - e d 9 e 8 3 5 9 8 3 8 4 "   n a m e = " M a t t e r "   t y p e = " "   o r d e r = " 9 9 9 "   e n t i t y I d = " c c c 2 f 1 0 0 - 6 b 1 c - 4 5 1 f - 9 b a a - 9 6 6 0 0 d 7 5 7 8 1 9 "   l i n k e d E n t i t y I d = " 0 0 0 0 0 0 0 0 - 0 0 0 0 - 0 0 0 0 - 0 0 0 0 - 0 0 0 0 0 0 0 0 0 0 0 0 "   l i n k e d F i e l d I d = " 0 0 0 0 0 0 0 0 - 0 0 0 0 - 0 0 0 0 - 0 0 0 0 - 0 0 0 0 0 0 0 0 0 0 0 0 "   l i n k e d F i e l d I n d e x = " 0 "   i n d e x = " 0 "   f i e l d T y p e = " q u e s t i o n "   f o r m a t E v a l u a t o r T y p e = " f o r m a t S t r i n g "   c o i D o c u m e n t F i e l d = " M a t t e r "   h i d d e n = " f a l s e " > 2 4 < / f i e l d >  
         < f i e l d   i d = " a 3 e e f 5 1 4 - 2 4 7 f - 4 2 8 1 - b 6 a 2 - 3 b 4 d 3 4 b c 6 8 c f "   n a m e = " M a t t e r N a m e "   t y p e = " "   o r d e r = " 9 9 9 "   e n t i t y I d = " c c c 2 f 1 0 0 - 6 b 1 c - 4 5 1 f - 9 b a a - 9 6 6 0 0 d 7 5 7 8 1 9 "   l i n k e d E n t i t y I d = " 0 0 0 0 0 0 0 0 - 0 0 0 0 - 0 0 0 0 - 0 0 0 0 - 0 0 0 0 0 0 0 0 0 0 0 0 "   l i n k e d F i e l d I d = " 0 0 0 0 0 0 0 0 - 0 0 0 0 - 0 0 0 0 - 0 0 0 0 - 0 0 0 0 0 0 0 0 0 0 0 0 "   l i n k e d F i e l d I n d e x = " 0 "   i n d e x = " 0 "   f i e l d T y p e = " q u e s t i o n "   f o r m a t E v a l u a t o r T y p e = " f o r m a t S t r i n g "   c o i D o c u m e n t F i e l d = " M a t t e r N a m e "   h i d d e n = " f a l s e " > P A 2 3   T e m p l a t e s < / f i e l d >  
         < f i e l d   i d = " 7 5 3 2 7 c a 1 - c 6 c b - 4 7 8 0 - 8 a 2 2 - 2 1 8 1 7 3 d 5 2 c 3 7 "   n a m e = " T y p i s t "   t y p e = " "   o r d e r = " 9 9 9 "   e n t i t y I d = " c c c 2 f 1 0 0 - 6 b 1 c - 4 5 1 f - 9 b a a - 9 6 6 0 0 d 7 5 7 8 1 9 "   l i n k e d E n t i t y I d = " 0 0 0 0 0 0 0 0 - 0 0 0 0 - 0 0 0 0 - 0 0 0 0 - 0 0 0 0 0 0 0 0 0 0 0 0 "   l i n k e d F i e l d I d = " 0 0 0 0 0 0 0 0 - 0 0 0 0 - 0 0 0 0 - 0 0 0 0 - 0 0 0 0 0 0 0 0 0 0 0 0 "   l i n k e d F i e l d I n d e x = " 0 "   i n d e x = " 0 "   f i e l d T y p e = " q u e s t i o n "   f o r m a t E v a l u a t o r T y p e = " f o r m a t S t r i n g "   h i d d e n = " f a l s e " > J G 3 2 < / f i e l d >  
         < f i e l d   i d = " 9 a 9 2 6 9 a e - 1 d 5 b - 4 3 6 5 - 9 d a 1 - 6 3 7 c 5 f 3 3 0 a 8 f "   n a m e = " A u t h o r "   t y p e = " "   o r d e r = " 9 9 9 "   e n t i t y I d = " c c c 2 f 1 0 0 - 6 b 1 c - 4 5 1 f - 9 b a a - 9 6 6 0 0 d 7 5 7 8 1 9 "   l i n k e d E n t i t y I d = " 0 0 0 0 0 0 0 0 - 0 0 0 0 - 0 0 0 0 - 0 0 0 0 - 0 0 0 0 0 0 0 0 0 0 0 0 "   l i n k e d F i e l d I d = " 0 0 0 0 0 0 0 0 - 0 0 0 0 - 0 0 0 0 - 0 0 0 0 - 0 0 0 0 0 0 0 0 0 0 0 0 "   l i n k e d F i e l d I n d e x = " 0 "   i n d e x = " 0 "   f i e l d T y p e = " q u e s t i o n "   f o r m a t E v a l u a t o r T y p e = " f o r m a t S t r i n g "   h i d d e n = " f a l s e " > C C 2 6 < / f i e l d >  
         < f i e l d   i d = " a 0 0 2 e 7 8 a - 8 e 1 8 - 4 3 7 5 - b e f 7 - 9 f 6 8 7 e 9 3 1 f 6 5 "   n a m e = " T i t l e "   t y p e = " "   o r d e r = " 9 9 9 "   e n t i t y I d = " c c c 2 f 1 0 0 - 6 b 1 c - 4 5 1 f - 9 b a a - 9 6 6 0 0 d 7 5 7 8 1 9 "   l i n k e d E n t i t y I d = " 0 0 0 0 0 0 0 0 - 0 0 0 0 - 0 0 0 0 - 0 0 0 0 - 0 0 0 0 0 0 0 0 0 0 0 0 "   l i n k e d F i e l d I d = " 0 0 0 0 0 0 0 0 - 0 0 0 0 - 0 0 0 0 - 0 0 0 0 - 0 0 0 0 0 0 0 0 0 0 0 0 "   l i n k e d F i e l d I n d e x = " 0 "   i n d e x = " 0 "   f i e l d T y p e = " q u e s t i o n "   f o r m a t E v a l u a t o r T y p e = " f o r m a t S t r i n g "   h i d d e n = " f a l s e " > D r a f t   P A 2 3   A r m e d   F o r c e s   C o v e n a n t   F u n d   I T T   -   O p e n   P r o c e d u r e < / f i e l d >  
         < f i e l d   i d = " 6 4 f f 0 0 3 6 - a 6 a f - 4 b 1 1 - a 4 e a - 4 0 2 a 2 f 2 7 3 e 2 1 "   n a m e = " D o c T y p e "   t y p e = " "   o r d e r = " 9 9 9 "   e n t i t y I d = " c c c 2 f 1 0 0 - 6 b 1 c - 4 5 1 f - 9 b a a - 9 6 6 0 0 d 7 5 7 8 1 9 "   l i n k e d E n t i t y I d = " 0 0 0 0 0 0 0 0 - 0 0 0 0 - 0 0 0 0 - 0 0 0 0 - 0 0 0 0 0 0 0 0 0 0 0 0 "   l i n k e d F i e l d I d = " 0 0 0 0 0 0 0 0 - 0 0 0 0 - 0 0 0 0 - 0 0 0 0 - 0 0 0 0 0 0 0 0 0 0 0 0 "   l i n k e d F i e l d I n d e x = " 0 "   i n d e x = " 0 "   f i e l d T y p e = " q u e s t i o n "   f o r m a t E v a l u a t o r T y p e = " f o r m a t S t r i n g "   h i d d e n = " f a l s e " > D O C < / f i e l d >  
         < f i e l d   i d = " 7 a b e a 0 f 8 - 4 6 b 7 - 4 9 6 8 - b b 1 2 - 0 4 a 8 9 9 f 0 d 7 7 8 "   n a m e = " D o c S u b T y p e "   t y p e = " "   o r d e r = " 9 9 9 "   e n t i t y I d = " c c c 2 f 1 0 0 - 6 b 1 c - 4 5 1 f - 9 b a a - 9 6 6 0 0 d 7 5 7 8 1 9 "   l i n k e d E n t i t y I d = " 0 0 0 0 0 0 0 0 - 0 0 0 0 - 0 0 0 0 - 0 0 0 0 - 0 0 0 0 0 0 0 0 0 0 0 0 "   l i n k e d F i e l d I d = " 0 0 0 0 0 0 0 0 - 0 0 0 0 - 0 0 0 0 - 0 0 0 0 - 0 0 0 0 0 0 0 0 0 0 0 0 "   l i n k e d F i e l d I n d e x = " 0 "   i n d e x = " 0 "   f i e l d T y p e = " q u e s t i o n "   f o r m a t E v a l u a t o r T y p e = " f o r m a t S t r i n g "   h i d d e n = " f a l s e " / >  
         < f i e l d   i d = " 0 1 a 5 9 1 9 e - 9 f 8 0 - 4 7 f 4 - 9 3 c 4 - a 9 7 8 7 8 0 8 8 c 9 c "   n a m e = " S e r v e r "   t y p e = " "   o r d e r = " 9 9 9 "   e n t i t y I d = " c c c 2 f 1 0 0 - 6 b 1 c - 4 5 1 f - 9 b a a - 9 6 6 0 0 d 7 5 7 8 1 9 " 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c c c 2 f 1 0 0 - 6 b 1 c - 4 5 1 f - 9 b a a - 9 6 6 0 0 d 7 5 7 8 1 9 "   l i n k e d E n t i t y I d = " 0 0 0 0 0 0 0 0 - 0 0 0 0 - 0 0 0 0 - 0 0 0 0 - 0 0 0 0 0 0 0 0 0 0 0 0 "   l i n k e d F i e l d I d = " 0 0 0 0 0 0 0 0 - 0 0 0 0 - 0 0 0 0 - 0 0 0 0 - 0 0 0 0 0 0 0 0 0 0 0 0 "   l i n k e d F i e l d I n d e x = " 0 "   i n d e x = " 0 "   f i e l d T y p e = " q u e s t i o n "   f o r m a t E v a l u a t o r T y p e = " f o r m a t S t r i n g "   h i d d e n = " f a l s e " > W O R K < / f i e l d >  
         < f i e l d   i d = " 3 8 8 a 1 e 1 3 - 9 9 7 8 - 4 5 4 7 - 8 c 3 9 - 2 9 b 8 9 a 1 1 d 7 2 a "   n a m e = " W o r k s p a c e I d "   t y p e = " "   o r d e r = " 9 9 9 "   e n t i t y I d = " c c c 2 f 1 0 0 - 6 b 1 c - 4 5 1 f - 9 b a a - 9 6 6 0 0 d 7 5 7 8 1 9 "   l i n k e d E n t i t y I d = " 0 0 0 0 0 0 0 0 - 0 0 0 0 - 0 0 0 0 - 0 0 0 0 - 0 0 0 0 0 0 0 0 0 0 0 0 "   l i n k e d F i e l d I d = " 0 0 0 0 0 0 0 0 - 0 0 0 0 - 0 0 0 0 - 0 0 0 0 - 0 0 0 0 0 0 0 0 0 0 0 0 "   l i n k e d F i e l d I n d e x = " 0 "   i n d e x = " 0 "   f i e l d T y p e = " q u e s t i o n "   f o r m a t E v a l u a t o r T y p e = " f o r m a t S t r i n g "   h i d d e n = " f a l s e " / >  
         < f i e l d   i d = " d 8 d 8 a 1 b 7 - 2 9 f 2 - 4 1 8 4 - b 4 b b - 9 4 e 8 6 8 1 1 b 1 d c "   n a m e = " D o c F o l d e r I d "   t y p e = " "   o r d e r = " 9 9 9 "   e n t i t y I d = " c c c 2 f 1 0 0 - 6 b 1 c - 4 5 1 f - 9 b a a - 9 6 6 0 0 d 7 5 7 8 1 9 "   l i n k e d E n t i t y I d = " 0 0 0 0 0 0 0 0 - 0 0 0 0 - 0 0 0 0 - 0 0 0 0 - 0 0 0 0 0 0 0 0 0 0 0 0 "   l i n k e d F i e l d I d = " 0 0 0 0 0 0 0 0 - 0 0 0 0 - 0 0 0 0 - 0 0 0 0 - 0 0 0 0 0 0 0 0 0 0 0 0 "   l i n k e d F i e l d I n d e x = " 0 "   i n d e x = " 0 "   f i e l d T y p e = " q u e s t i o n "   f o r m a t E v a l u a t o r T y p e = " f o r m a t S t r i n g "   h i d d e n = " f a l s e " / >  
         < f i e l d   i d = " a 1 f 2 3 1 e a - a 0 0 f - 4 6 0 6 - 9 f a b - d 2 a c d 8 5 9 d 3 a d "   n a m e = " D o c N u m b e r "   t y p e = " "   o r d e r = " 9 9 9 "   e n t i t y I d = " c c c 2 f 1 0 0 - 6 b 1 c - 4 5 1 f - 9 b a a - 9 6 6 0 0 d 7 5 7 8 1 9 "   l i n k e d E n t i t y I d = " 0 0 0 0 0 0 0 0 - 0 0 0 0 - 0 0 0 0 - 0 0 0 0 - 0 0 0 0 0 0 0 0 0 0 0 0 "   l i n k e d F i e l d I d = " 0 0 0 0 0 0 0 0 - 0 0 0 0 - 0 0 0 0 - 0 0 0 0 - 0 0 0 0 0 0 0 0 0 0 0 0 "   l i n k e d F i e l d I n d e x = " 0 "   i n d e x = " 0 "   f i e l d T y p e = " q u e s t i o n "   f o r m a t E v a l u a t o r T y p e = " f o r m a t S t r i n g "   h i d d e n = " f a l s e " > 7 5 6 4 6 6 9 6 < / f i e l d >  
         < f i e l d   i d = " c 9 0 9 4 b 9 c - 5 2 f d - 4 4 0 3 - b b 8 3 - 9 b b 3 a b 5 3 6 8 a d "   n a m e = " D o c V e r s i o n "   t y p e = " "   o r d e r = " 9 9 9 "   e n t i t y I d = " c c c 2 f 1 0 0 - 6 b 1 c - 4 5 1 f - 9 b a a - 9 6 6 0 0 d 7 5 7 8 1 9 "   l i n k e d E n t i t y I d = " 0 0 0 0 0 0 0 0 - 0 0 0 0 - 0 0 0 0 - 0 0 0 0 - 0 0 0 0 0 0 0 0 0 0 0 0 "   l i n k e d F i e l d I d = " 0 0 0 0 0 0 0 0 - 0 0 0 0 - 0 0 0 0 - 0 0 0 0 - 0 0 0 0 0 0 0 0 0 0 0 0 "   l i n k e d F i e l d I n d e x = " 0 "   i n d e x = " 0 "   f i e l d T y p e = " q u e s t i o n "   f o r m a t E v a l u a t o r T y p e = " f o r m a t S t r i n g "   h i d d e n = " f a l s e " > 3 < / f i e l d >  
         < f i e l d   i d = " 7 2 9 0 4 a 4 7 - 5 7 8 0 - 4 5 9 c - b e 7 a - 4 4 8 f 9 a d 8 d 6 b 4 "   n a m e = " D o c I d F o r m a t "   t y p e = " "   o r d e r = " 9 9 9 "   e n t i t y I d = " c c c 2 f 1 0 0 - 6 b 1 c - 4 5 1 f - 9 b a a - 9 6 6 0 0 d 7 5 7 8 1 9 "   l i n k e d E n t i t y I d = " c c c 2 f 1 0 0 - 6 b 1 c - 4 5 1 f - 9 b a a - 9 6 6 0 0 d 7 5 7 8 1 9 " 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c c c 2 f 1 0 0 - 6 b 1 c - 4 5 1 f - 9 b a a - 9 6 6 0 0 d 7 5 7 8 1 9 " 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c c c 2 f 1 0 0 - 6 b 1 c - 4 5 1 f - 9 b a a - 9 6 6 0 0 d 7 5 7 8 1 9 " 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c c c 2 f 1 0 0 - 6 b 1 c - 4 5 1 f - 9 b a a - 9 6 6 0 0 d 7 5 7 8 1 9 "   l i n k e d E n t i t y I d = " 0 0 0 0 0 0 0 0 - 0 0 0 0 - 0 0 0 0 - 0 0 0 0 - 0 0 0 0 0 0 0 0 0 0 0 0 "   l i n k e d F i e l d I d = " 0 0 0 0 0 0 0 0 - 0 0 0 0 - 0 0 0 0 - 0 0 0 0 - 0 0 0 0 0 0 0 0 0 0 0 0 "   l i n k e d F i e l d I n d e x = " 0 "   i n d e x = " 0 "   f i e l d T y p e = " q u e s t i o n "   f o r m a t E v a l u a t o r T y p e = " f o r m a t S t r i n g "   h i d d e n = " f a l s e " / >  
         < f i e l d   i d = " a 0 6 3 5 d f 7 - 3 c 7 1 - 4 e b c - 9 b 8 6 - 0 d d d f e a 3 d 5 3 6 "   n a m e = " R e f r e s h O n S a v e A s "   t y p e = " "   o r d e r = " 9 9 9 "   e n t i t y I d = " c c c 2 f 1 0 0 - 6 b 1 c - 4 5 1 f - 9 b a a - 9 6 6 0 0 d 7 5 7 8 1 9 "   l i n k e d E n t i t y I d = " 0 0 0 0 0 0 0 0 - 0 0 0 0 - 0 0 0 0 - 0 0 0 0 - 0 0 0 0 0 0 0 0 0 0 0 0 "   l i n k e d F i e l d I d = " 0 0 0 0 0 0 0 0 - 0 0 0 0 - 0 0 0 0 - 0 0 0 0 - 0 0 0 0 0 0 0 0 0 0 0 0 "   l i n k e d F i e l d I n d e x = " 0 "   i n d e x = " 0 "   f i e l d T y p e = " q u e s t i o n "   f o r m a t E v a l u a t o r T y p e = " f o r m a t S t r i n g "   h i d d e n = " f a l s e " / >  
         < f i e l d   i d = " 8 e 8 b 5 8 3 6 - 3 9 1 1 - 4 b a 7 - a 8 c b - 6 5 a 2 4 1 a 1 c 8 7 e "   n a m e = " P r o f i l e F i e l d 1 "   t y p e = " "   o r d e r = " 9 9 9 "   e n t i t y I d = " c c c 2 f 1 0 0 - 6 b 1 c - 4 5 1 f - 9 b a a - 9 6 6 0 0 d 7 5 7 8 1 9 " 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c c c 2 f 1 0 0 - 6 b 1 c - 4 5 1 f - 9 b a a - 9 6 6 0 0 d 7 5 7 8 1 9 " 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c c c 2 f 1 0 0 - 6 b 1 c - 4 5 1 f - 9 b a a - 9 6 6 0 0 d 7 5 7 8 1 9 "   l i n k e d E n t i t y I d = " 0 0 0 0 0 0 0 0 - 0 0 0 0 - 0 0 0 0 - 0 0 0 0 - 0 0 0 0 0 0 0 0 0 0 0 0 "   l i n k e d F i e l d I d = " 0 0 0 0 0 0 0 0 - 0 0 0 0 - 0 0 0 0 - 0 0 0 0 - 0 0 0 0 0 0 0 0 0 0 0 0 "   l i n k e d F i e l d I n d e x = " 0 "   i n d e x = " 0 "   f i e l d T y p e = " q u e s t i o n "   f o r m a t E v a l u a t o r T y p e = " f o r m a t S t r i n g "   h i d d e n = " f a l s e " / >  
         < f i e l d   i d = " c 0 4 7 b 3 6 9 - 4 d f e - 4 4 6 0 - 8 9 6 1 - 5 e d b 5 3 4 4 7 c f f "   n a m e = " P r o f i l e F i e l d 2 D e s c r i p t i o n "   t y p e = " "   o r d e r = " 9 9 9 "   e n t i t y I d = " c c c 2 f 1 0 0 - 6 b 1 c - 4 5 1 f - 9 b a a - 9 6 6 0 0 d 7 5 7 8 1 9 " 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Props1.xml><?xml version="1.0" encoding="utf-8"?>
<ds:datastoreItem xmlns:ds="http://schemas.openxmlformats.org/officeDocument/2006/customXml" ds:itemID="{A406C433-DE12-4B4F-BD09-FBAB47B0E2C0}">
  <ds:schemaRefs>
    <ds:schemaRef ds:uri="http://www.imanage.com/work/xmlschema"/>
  </ds:schemaRefs>
</ds:datastoreItem>
</file>

<file path=customXml/itemProps2.xml><?xml version="1.0" encoding="utf-8"?>
<ds:datastoreItem xmlns:ds="http://schemas.openxmlformats.org/officeDocument/2006/customXml" ds:itemID="{3207CDEF-4BC5-47DE-9E01-0EEFED8706F5}">
  <ds:schemaRefs>
    <ds:schemaRef ds:uri="http://schemas.openxmlformats.org/officeDocument/2006/bibliography"/>
  </ds:schemaRefs>
</ds:datastoreItem>
</file>

<file path=customXml/itemProps3.xml><?xml version="1.0" encoding="utf-8"?>
<ds:datastoreItem xmlns:ds="http://schemas.openxmlformats.org/officeDocument/2006/customXml" ds:itemID="{C91594BB-C04B-4D44-8658-A4AFDA843E22}">
  <ds:schemaRefs>
    <ds:schemaRef ds:uri="http://www.w3.org/2001/XMLSchema"/>
    <ds:schemaRef ds:uri="http://bighand.com/word/bighanddocumentcreation/"/>
  </ds:schemaRefs>
</ds:datastoreItem>
</file>

<file path=docProps/app.xml><?xml version="1.0" encoding="utf-8"?>
<Properties xmlns="http://schemas.openxmlformats.org/officeDocument/2006/extended-properties" xmlns:vt="http://schemas.openxmlformats.org/officeDocument/2006/docPropsVTypes">
  <Template>Blank Document Portrait</Template>
  <TotalTime>0</TotalTime>
  <Pages>53</Pages>
  <Words>16710</Words>
  <Characters>95252</Characters>
  <Application>Microsoft Office Word</Application>
  <DocSecurity>4</DocSecurity>
  <Lines>793</Lines>
  <Paragraphs>223</Paragraphs>
  <ScaleCrop>false</ScaleCrop>
  <HeadingPairs>
    <vt:vector size="2" baseType="variant">
      <vt:variant>
        <vt:lpstr>Title</vt:lpstr>
      </vt:variant>
      <vt:variant>
        <vt:i4>1</vt:i4>
      </vt:variant>
    </vt:vector>
  </HeadingPairs>
  <TitlesOfParts>
    <vt:vector size="1" baseType="lpstr">
      <vt:lpstr>Blank Document Portrait</vt:lpstr>
    </vt:vector>
  </TitlesOfParts>
  <Company/>
  <LinksUpToDate>false</LinksUpToDate>
  <CharactersWithSpaces>111739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 Portrait</dc:title>
  <dc:subject/>
  <dc:creator>Tom Traynor</dc:creator>
  <cp:keywords/>
  <dc:description>Closed framework tender document based on PA23 guidnace.</dc:description>
  <cp:lastModifiedBy>Becky Clarke</cp:lastModifiedBy>
  <cp:revision>2</cp:revision>
  <dcterms:created xsi:type="dcterms:W3CDTF">2026-01-06T12:03:00Z</dcterms:created>
  <dcterms:modified xsi:type="dcterms:W3CDTF">2026-01-06T12:03:00Z</dcterms:modified>
</cp:coreProperties>
</file>